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【様式第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３号】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　月～　　年　　月</w:t>
            </w:r>
          </w:p>
        </w:tc>
      </w:tr>
      <w:tr>
        <w:trPr>
          <w:cantSplit/>
          <w:trHeight w:val="5080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Chars="0" w:firstLineChars="0"/>
        <w:rPr>
          <w:rFonts w:hint="default" w:ascii="Century" w:hAnsi="Century" w:eastAsia="ＭＳ 明朝"/>
          <w:sz w:val="22"/>
        </w:rPr>
      </w:pP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１．「業務の概要」欄には、実績要件を満たすと的確に判断できるよう、できるだけ詳細に記入すること。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147</Characters>
  <Application>JUST Note</Application>
  <Lines>68</Lines>
  <Paragraphs>14</Paragraphs>
  <CharactersWithSpaces>181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5010325</cp:lastModifiedBy>
  <cp:lastPrinted>2018-03-10T01:40:00Z</cp:lastPrinted>
  <dcterms:created xsi:type="dcterms:W3CDTF">2018-03-09T09:27:00Z</dcterms:created>
  <dcterms:modified xsi:type="dcterms:W3CDTF">2026-02-17T06:43:53Z</dcterms:modified>
  <cp:revision>13</cp:revision>
</cp:coreProperties>
</file>