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53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履__歴__書"/>
      <w:bookmarkEnd w:id="1"/>
      <w:bookmarkStart w:id="2" w:name="農業次世代人材投資資金（準備型）交付申請書"/>
      <w:bookmarkEnd w:id="2"/>
      <w:bookmarkStart w:id="3" w:name="【溶け込み版】様式その２"/>
      <w:bookmarkEnd w:id="3"/>
      <w:r>
        <w:rPr>
          <w:rFonts w:hint="default"/>
        </w:rPr>
        <w:t>別紙様式第</w:t>
      </w:r>
      <w:r>
        <w:rPr>
          <w:rFonts w:hint="default"/>
        </w:rPr>
        <w:t xml:space="preserve"> 15 </w:t>
      </w:r>
      <w:r>
        <w:rPr>
          <w:rFonts w:hint="default"/>
        </w:rPr>
        <w:t>号</w:t>
      </w:r>
    </w:p>
    <w:p>
      <w:pPr>
        <w:pStyle w:val="15"/>
        <w:spacing w:before="3" w:beforeLines="0" w:beforeAutospacing="0"/>
        <w:rPr>
          <w:rFonts w:hint="default"/>
          <w:sz w:val="26"/>
        </w:rPr>
      </w:pPr>
    </w:p>
    <w:p>
      <w:pPr>
        <w:pStyle w:val="4"/>
        <w:rPr>
          <w:rFonts w:hint="default"/>
        </w:rPr>
      </w:pPr>
      <w:r>
        <w:rPr>
          <w:rFonts w:hint="default"/>
        </w:rPr>
        <w:t>就農中断届</w:t>
      </w:r>
    </w:p>
    <w:p>
      <w:pPr>
        <w:pStyle w:val="15"/>
        <w:spacing w:before="8" w:beforeLines="0" w:beforeAutospacing="0"/>
        <w:rPr>
          <w:rFonts w:hint="default"/>
          <w:sz w:val="17"/>
        </w:rPr>
      </w:pPr>
    </w:p>
    <w:p>
      <w:pPr>
        <w:pStyle w:val="15"/>
        <w:tabs>
          <w:tab w:val="left" w:leader="none" w:pos="8351"/>
          <w:tab w:val="left" w:leader="none" w:pos="9311"/>
          <w:tab w:val="left" w:leader="none" w:pos="10271"/>
        </w:tabs>
        <w:spacing w:before="66" w:beforeLines="0" w:beforeAutospacing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" w:beforeLines="0" w:beforeAutospacing="0"/>
        <w:rPr>
          <w:rFonts w:hint="default"/>
          <w:sz w:val="21"/>
        </w:rPr>
      </w:pPr>
    </w:p>
    <w:p>
      <w:pPr>
        <w:pStyle w:val="15"/>
        <w:spacing w:before="66" w:beforeLines="0" w:beforeAutospacing="0"/>
        <w:ind w:left="0" w:leftChars="0" w:firstLineChars="0"/>
        <w:rPr>
          <w:rFonts w:hint="default"/>
        </w:rPr>
      </w:pPr>
      <w:bookmarkStart w:id="4" w:name="_GoBack"/>
      <w:bookmarkEnd w:id="4"/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r>
        <w:rPr>
          <w:rFonts w:hint="default"/>
        </w:rPr>
        <w:t>殿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0"/>
        </w:rPr>
      </w:pPr>
    </w:p>
    <w:p>
      <w:pPr>
        <w:pStyle w:val="15"/>
        <w:tabs>
          <w:tab w:val="left" w:leader="none" w:pos="9731"/>
        </w:tabs>
        <w:spacing w:before="67" w:beforeLines="0" w:beforeAutospacing="0"/>
        <w:ind w:firstLine="4536" w:firstLineChars="1890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　　　　</w:t>
      </w:r>
    </w:p>
    <w:p>
      <w:pPr>
        <w:pStyle w:val="15"/>
        <w:spacing w:before="11" w:beforeLines="0" w:beforeAutospacing="0"/>
        <w:rPr>
          <w:rFonts w:hint="default"/>
        </w:rPr>
      </w:pPr>
    </w:p>
    <w:p>
      <w:pPr>
        <w:pStyle w:val="15"/>
        <w:spacing w:line="242" w:lineRule="auto"/>
        <w:ind w:firstLine="240" w:firstLineChars="100"/>
        <w:rPr>
          <w:rFonts w:hint="default"/>
        </w:rPr>
      </w:pP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号農林水産事務次官依命通知）別記</w:t>
      </w:r>
      <w:r>
        <w:rPr>
          <w:rFonts w:hint="eastAsia"/>
          <w:spacing w:val="-9"/>
        </w:rPr>
        <w:t>２</w:t>
      </w:r>
      <w:r>
        <w:rPr>
          <w:rFonts w:hint="default"/>
          <w:spacing w:val="-9"/>
        </w:rPr>
        <w:t>第６の</w:t>
      </w:r>
      <w:r>
        <w:rPr>
          <w:rFonts w:hint="default"/>
          <w:spacing w:val="-9"/>
          <w:u w:val="single" w:color="auto"/>
        </w:rPr>
        <w:t>１の（７）</w:t>
      </w:r>
      <w:r>
        <w:rPr>
          <w:rFonts w:hint="default"/>
          <w:spacing w:val="-9"/>
        </w:rPr>
        <w:t>の規定に基づき就農中断届を提出します。</w:t>
      </w:r>
    </w:p>
    <w:p>
      <w:pPr>
        <w:pStyle w:val="15"/>
        <w:spacing w:before="12" w:beforeLines="0" w:beforeAutospacing="0"/>
        <w:rPr>
          <w:rFonts w:hint="default"/>
          <w:sz w:val="18"/>
        </w:rPr>
      </w:pPr>
    </w:p>
    <w:tbl>
      <w:tblPr>
        <w:tblStyle w:val="41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>
        <w:trPr>
          <w:trHeight w:val="971" w:hRule="atLeast"/>
        </w:trPr>
        <w:tc>
          <w:tcPr>
            <w:tcW w:w="2127" w:type="dxa"/>
            <w:vAlign w:val="center"/>
          </w:tcPr>
          <w:p>
            <w:pPr>
              <w:pStyle w:val="17"/>
              <w:ind w:left="152" w:right="14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就農中断</w:t>
            </w:r>
          </w:p>
          <w:p>
            <w:pPr>
              <w:pStyle w:val="17"/>
              <w:ind w:left="152" w:right="14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予定期間</w:t>
            </w:r>
          </w:p>
        </w:tc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233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11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日～</w:t>
            </w:r>
          </w:p>
        </w:tc>
        <w:tc>
          <w:tcPr>
            <w:tcW w:w="103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11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11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3020" w:hRule="atLeast"/>
        </w:trPr>
        <w:tc>
          <w:tcPr>
            <w:tcW w:w="2127" w:type="dxa"/>
            <w:vAlign w:val="center"/>
          </w:tcPr>
          <w:p>
            <w:pPr>
              <w:pStyle w:val="17"/>
              <w:spacing w:before="1" w:beforeLines="0" w:beforeAutospacing="0"/>
              <w:ind w:left="152" w:right="14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中断理由</w:t>
            </w:r>
          </w:p>
        </w:tc>
        <w:tc>
          <w:tcPr>
            <w:tcW w:w="6662" w:type="dxa"/>
            <w:gridSpan w:val="7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17"/>
              <w:spacing w:before="176" w:beforeLines="0" w:beforeAutospacing="0" w:line="242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" w:beforeLines="0" w:beforeAutospacing="0"/>
              <w:jc w:val="right"/>
              <w:rPr>
                <w:rFonts w:hint="default"/>
                <w:sz w:val="24"/>
              </w:rPr>
            </w:pPr>
          </w:p>
          <w:p>
            <w:pPr>
              <w:pStyle w:val="17"/>
              <w:ind w:firstLine="324" w:firstLineChars="135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7"/>
              <w:ind w:left="184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" w:beforeLines="0" w:beforeAutospacing="0"/>
              <w:jc w:val="right"/>
              <w:rPr>
                <w:rFonts w:hint="default"/>
                <w:sz w:val="24"/>
              </w:rPr>
            </w:pPr>
          </w:p>
          <w:p>
            <w:pPr>
              <w:pStyle w:val="17"/>
              <w:ind w:left="64"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7"/>
              <w:ind w:left="64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" w:beforeLines="0" w:beforeAutospacing="0"/>
              <w:jc w:val="right"/>
              <w:rPr>
                <w:rFonts w:hint="default"/>
                <w:sz w:val="24"/>
              </w:rPr>
            </w:pPr>
          </w:p>
          <w:p>
            <w:pPr>
              <w:pStyle w:val="17"/>
              <w:ind w:left="64"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7"/>
              <w:ind w:left="64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" w:beforeLines="0" w:beforeAutospacing="0"/>
              <w:jc w:val="right"/>
              <w:rPr>
                <w:rFonts w:hint="default"/>
                <w:sz w:val="24"/>
              </w:rPr>
            </w:pPr>
          </w:p>
          <w:p>
            <w:pPr>
              <w:pStyle w:val="17"/>
              <w:ind w:left="64"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7"/>
              <w:ind w:left="64"/>
              <w:rPr>
                <w:rFonts w:hint="default"/>
                <w:sz w:val="24"/>
              </w:rPr>
            </w:pPr>
          </w:p>
        </w:tc>
      </w:tr>
    </w:tbl>
    <w:p>
      <w:pPr>
        <w:pStyle w:val="15"/>
        <w:spacing w:before="12" w:beforeLines="0" w:beforeAutospacing="0"/>
        <w:rPr>
          <w:rFonts w:hint="default"/>
          <w:sz w:val="18"/>
        </w:rPr>
      </w:pPr>
    </w:p>
    <w:p>
      <w:pPr>
        <w:pStyle w:val="15"/>
        <w:tabs>
          <w:tab w:val="left" w:leader="none" w:pos="1659"/>
        </w:tabs>
        <w:spacing w:before="67" w:beforeLines="0" w:beforeAutospacing="0"/>
        <w:ind w:firstLine="142" w:firstLineChars="59"/>
        <w:rPr>
          <w:rFonts w:hint="default"/>
        </w:rPr>
      </w:pPr>
      <w:r>
        <w:rPr>
          <w:rFonts w:hint="default"/>
        </w:rPr>
        <w:t>※</w:t>
      </w:r>
      <w:r>
        <w:rPr>
          <w:rFonts w:hint="eastAsia"/>
        </w:rPr>
        <w:t>　</w:t>
      </w:r>
      <w:r>
        <w:rPr>
          <w:rFonts w:hint="default"/>
        </w:rPr>
        <w:t>下線部は</w:t>
      </w:r>
      <w:r>
        <w:rPr>
          <w:rFonts w:hint="eastAsia"/>
        </w:rPr>
        <w:t>経営開始資金</w:t>
      </w:r>
      <w:r>
        <w:rPr>
          <w:rFonts w:hint="default"/>
        </w:rPr>
        <w:t>の場合は「２の（６）」とする。</w:t>
      </w:r>
    </w:p>
    <w:p>
      <w:pPr>
        <w:pStyle w:val="0"/>
        <w:rPr>
          <w:rFonts w:hint="default"/>
          <w:sz w:val="18"/>
        </w:rPr>
      </w:pP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</Words>
  <Characters>180</Characters>
  <Application>JUST Note</Application>
  <Lines>99</Lines>
  <Paragraphs>21</Paragraphs>
  <Company>農林水産省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2025-06-06T00:42:38Z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