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93"/>
        <w:gridCol w:w="3498"/>
        <w:gridCol w:w="3392"/>
      </w:tblGrid>
      <w:tr>
        <w:trPr>
          <w:trHeight w:val="400" w:hRule="atLeast"/>
        </w:trPr>
        <w:tc>
          <w:tcPr>
            <w:tcW w:w="10383"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305" w:hRule="atLeast"/>
        </w:trPr>
        <w:tc>
          <w:tcPr>
            <w:tcW w:w="349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498"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92"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154" w:hRule="atLeast"/>
        </w:trPr>
        <w:tc>
          <w:tcPr>
            <w:tcW w:w="349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49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92"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様式第５－（ロ）－②</w:t>
      </w:r>
    </w:p>
    <w:tbl>
      <w:tblPr>
        <w:tblStyle w:val="11"/>
        <w:tblW w:w="10443"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43"/>
      </w:tblGrid>
      <w:tr>
        <w:trPr/>
        <w:tc>
          <w:tcPr>
            <w:tcW w:w="104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中小企業信用保険法第２条第５項第５号の規定による認定申請書（ロ－②）</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宇和島市長　殿</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氏　名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印</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ind w:right="487" w:rightChars="23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r>
              <w:rPr>
                <w:rFonts w:hint="eastAsia"/>
                <w:sz w:val="20"/>
              </w:rPr>
              <w:t>＊左の小さい欄には指定業種の番号を、その隣の枠には指定業種名を記入。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45"/>
              <w:gridCol w:w="2518"/>
              <w:gridCol w:w="768"/>
              <w:gridCol w:w="2497"/>
              <w:gridCol w:w="778"/>
              <w:gridCol w:w="2487"/>
            </w:tblGrid>
            <w:tr>
              <w:trPr>
                <w:trHeight w:val="366" w:hRule="atLeast"/>
              </w:trPr>
              <w:tc>
                <w:tcPr>
                  <w:tcW w:w="745" w:type="dxa"/>
                  <w:tcBorders>
                    <w:top w:val="single" w:color="auto" w:sz="24" w:space="0"/>
                    <w:left w:val="single" w:color="auto" w:sz="24" w:space="0"/>
                    <w:bottom w:val="single" w:color="auto" w:sz="2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center"/>
                    <w:textAlignment w:val="baseline"/>
                    <w:rPr>
                      <w:rFonts w:hint="default" w:ascii="ＭＳ ゴシック" w:hAnsi="ＭＳ ゴシック" w:eastAsia="ＭＳ ゴシック"/>
                      <w:color w:val="000000"/>
                      <w:spacing w:val="16"/>
                      <w:kern w:val="0"/>
                    </w:rPr>
                  </w:pPr>
                </w:p>
              </w:tc>
              <w:tc>
                <w:tcPr>
                  <w:tcW w:w="2518" w:type="dxa"/>
                  <w:tcBorders>
                    <w:top w:val="single" w:color="auto" w:sz="24" w:space="0"/>
                    <w:left w:val="single" w:color="auto" w:sz="4" w:space="0"/>
                    <w:bottom w:val="single" w:color="auto" w:sz="24" w:space="0"/>
                    <w:right w:val="single" w:color="auto" w:sz="24" w:space="0"/>
                    <w:tl2br w:val="none" w:color="auto" w:sz="0" w:space="0"/>
                    <w:tr2bl w:val="none" w:color="auto" w:sz="0" w:space="0"/>
                  </w:tcBorders>
                  <w:vAlign w:val="top"/>
                </w:tcPr>
                <w:p>
                  <w:pPr>
                    <w:pStyle w:val="0"/>
                    <w:rPr>
                      <w:rFonts w:hint="default" w:ascii="ＭＳ ゴシック" w:hAnsi="ＭＳ ゴシック" w:eastAsia="ＭＳ ゴシック"/>
                      <w:color w:val="000000"/>
                      <w:spacing w:val="16"/>
                      <w:kern w:val="0"/>
                    </w:rPr>
                  </w:pPr>
                </w:p>
              </w:tc>
              <w:tc>
                <w:tcPr>
                  <w:tcW w:w="768" w:type="dxa"/>
                  <w:tcBorders>
                    <w:top w:val="none" w:color="auto" w:sz="0" w:space="0"/>
                    <w:left w:val="single" w:color="auto" w:sz="2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249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color w:val="000000"/>
                      <w:spacing w:val="16"/>
                      <w:kern w:val="0"/>
                    </w:rPr>
                  </w:pPr>
                </w:p>
              </w:tc>
              <w:tc>
                <w:tcPr>
                  <w:tcW w:w="77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248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color w:val="000000"/>
                      <w:spacing w:val="16"/>
                      <w:kern w:val="0"/>
                    </w:rPr>
                  </w:pPr>
                </w:p>
              </w:tc>
            </w:tr>
            <w:tr>
              <w:trPr>
                <w:trHeight w:val="381" w:hRule="atLeast"/>
              </w:trPr>
              <w:tc>
                <w:tcPr>
                  <w:tcW w:w="745" w:type="dxa"/>
                  <w:tcBorders>
                    <w:top w:val="single" w:color="auto" w:sz="24"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2518" w:type="dxa"/>
                  <w:tcBorders>
                    <w:top w:val="single" w:color="auto" w:sz="2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color w:val="000000"/>
                      <w:spacing w:val="16"/>
                      <w:kern w:val="0"/>
                    </w:rPr>
                  </w:pPr>
                </w:p>
              </w:tc>
              <w:tc>
                <w:tcPr>
                  <w:tcW w:w="7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249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color w:val="000000"/>
                      <w:spacing w:val="16"/>
                      <w:kern w:val="0"/>
                    </w:rPr>
                  </w:pPr>
                </w:p>
              </w:tc>
              <w:tc>
                <w:tcPr>
                  <w:tcW w:w="77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248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60" w:lineRule="auto"/>
              <w:ind w:right="487" w:rightChars="232"/>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24"/>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原油等の仕入単価の上昇（注２）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指定業種に係る上昇率</w:t>
            </w:r>
            <w:r>
              <w:rPr>
                <w:rFonts w:hint="default" w:ascii="ＭＳ ゴシック" w:hAnsi="ＭＳ ゴシック" w:eastAsia="ＭＳ ゴシック"/>
                <w:color w:val="000000"/>
                <w:kern w:val="0"/>
                <w:u w:val="single" w:color="auto"/>
              </w:rPr>
              <w:softHyphen/>
            </w:r>
            <w:r>
              <w:rPr>
                <w:rFonts w:hint="default" w:ascii="ＭＳ ゴシック" w:hAnsi="ＭＳ ゴシック" w:eastAsia="ＭＳ ゴシック"/>
                <w:color w:val="000000"/>
                <w:kern w:val="0"/>
                <w:u w:val="single" w:color="auto"/>
              </w:rPr>
              <w:softHyphen/>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　　　円</w:t>
            </w:r>
          </w:p>
          <w:p>
            <w:pPr>
              <w:pStyle w:val="0"/>
              <w:suppressAutoHyphens w:val="1"/>
              <w:kinsoku w:val="0"/>
              <w:overflowPunct w:val="0"/>
              <w:autoSpaceDE w:val="0"/>
              <w:autoSpaceDN w:val="0"/>
              <w:adjustRightInd w:val="0"/>
              <w:spacing w:line="240" w:lineRule="exact"/>
              <w:ind w:left="63" w:leftChars="30"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円</w:t>
            </w:r>
          </w:p>
          <w:p>
            <w:pPr>
              <w:pStyle w:val="0"/>
              <w:suppressAutoHyphens w:val="1"/>
              <w:kinsoku w:val="0"/>
              <w:overflowPunct w:val="0"/>
              <w:autoSpaceDE w:val="0"/>
              <w:autoSpaceDN w:val="0"/>
              <w:adjustRightInd w:val="0"/>
              <w:spacing w:line="240" w:lineRule="exact"/>
              <w:ind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24"/>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原油等が売上原価に占める割合（注２）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Ｓ</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指定業種に係る依存率</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全体に係る依存率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ind w:left="182"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最近１か月間における全体の売上原価に占める指定業種の売上原価の割合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指定業種に係る売上原価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全体にかかる売上原価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24"/>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製品等価格への転嫁の状況（注３）</w:t>
            </w:r>
          </w:p>
          <w:p>
            <w:pPr>
              <w:pStyle w:val="0"/>
              <w:tabs>
                <w:tab w:val="center" w:leader="none" w:pos="4252"/>
                <w:tab w:val="right" w:leader="none" w:pos="8504"/>
              </w:tabs>
              <w:suppressAutoHyphens w:val="1"/>
              <w:kinsoku w:val="0"/>
              <w:overflowPunct w:val="0"/>
              <w:autoSpaceDE w:val="0"/>
              <w:autoSpaceDN w:val="0"/>
              <w:adjustRightInd w:val="0"/>
              <w:snapToGrid w:val="0"/>
              <w:spacing w:line="230" w:lineRule="exac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指定業種に係る転嫁の状況　Ｐ＝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全体に係る転嫁の状況</w:t>
            </w:r>
            <w:r>
              <w:rPr>
                <w:rFonts w:hint="eastAsia" w:ascii="ＭＳ ゴシック" w:hAnsi="ＭＳ ゴシック" w:eastAsia="ＭＳ ゴシック"/>
                <w:color w:val="000000"/>
                <w:kern w:val="0"/>
                <w:u w:val="single" w:color="000000"/>
              </w:rPr>
              <w:t>　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ａ：Ａの期間に対応する前年３か月間の原油等の仕入額　</w:t>
            </w:r>
            <w:r>
              <w:rPr>
                <w:rFonts w:hint="eastAsia" w:ascii="ＭＳ ゴシック" w:hAnsi="ＭＳ ゴシック" w:eastAsia="ＭＳ ゴシック"/>
                <w:color w:val="000000"/>
                <w:spacing w:val="16"/>
                <w:kern w:val="0"/>
                <w:u w:val="single" w:color="auto"/>
              </w:rPr>
              <w:t>指定業種に係る仕入額　</w:t>
            </w:r>
            <w:r>
              <w:rPr>
                <w:rFonts w:hint="eastAsia"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指定業種に係る売上高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指定業種に係る売上高</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spacing w:line="24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（注１）本様式は、指定業種と非指定業種を兼業している場合であって、指定業種及び申請者全体の双方が認定基準を満たす場合に使用する。</w:t>
      </w:r>
      <w:bookmarkStart w:id="0" w:name="_GoBack"/>
      <w:bookmarkEnd w:id="0"/>
    </w:p>
    <w:p>
      <w:pPr>
        <w:pStyle w:val="0"/>
        <w:suppressAutoHyphens w:val="1"/>
        <w:spacing w:line="24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（注２）上昇率、依存率及び最近１か月間における全体の売上原価に占める指定業種の売上原価の割合が２０％以上となっていること。</w:t>
      </w:r>
    </w:p>
    <w:p>
      <w:pPr>
        <w:pStyle w:val="0"/>
        <w:suppressAutoHyphens w:val="1"/>
        <w:spacing w:line="240" w:lineRule="exact"/>
        <w:ind w:left="18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rPr>
        <w:t>（注３）Ｐ＞０となっていること。</w:t>
      </w:r>
    </w:p>
    <w:p>
      <w:pPr>
        <w:pStyle w:val="0"/>
        <w:suppressAutoHyphens w:val="1"/>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2"/>
        </w:numPr>
        <w:suppressAutoHyphens w:val="1"/>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2"/>
        </w:numPr>
        <w:suppressAutoHyphens w:val="1"/>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rPr>
        <w:t>市町村長又は特別区長から認定を受けた日から３０日以内に金融機関又は信用保証協会に対して、保証の申込みを行うことが必要です。</w:t>
      </w:r>
    </w:p>
    <w:p>
      <w:pPr>
        <w:pStyle w:val="0"/>
        <w:suppressAutoHyphens w:val="1"/>
        <w:wordWrap w:val="0"/>
        <w:spacing w:line="240" w:lineRule="exact"/>
        <w:ind w:left="0" w:leftChars="0" w:hanging="630" w:hangingChars="300"/>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p>
      <w:pPr>
        <w:pStyle w:val="0"/>
        <w:suppressAutoHyphens w:val="1"/>
        <w:spacing w:line="240" w:lineRule="exact"/>
        <w:ind w:left="960" w:hanging="960" w:hangingChars="200"/>
        <w:jc w:val="center"/>
        <w:textAlignment w:val="baseline"/>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spacing w:val="120"/>
          <w:kern w:val="0"/>
          <w:sz w:val="24"/>
          <w:fitText w:val="1200" w:id="1"/>
        </w:rPr>
        <w:t>認定</w:t>
      </w:r>
      <w:r>
        <w:rPr>
          <w:rFonts w:hint="eastAsia" w:ascii="ＭＳ ゴシック" w:hAnsi="ＭＳ ゴシック" w:eastAsia="ＭＳ ゴシック"/>
          <w:color w:val="000000"/>
          <w:kern w:val="0"/>
          <w:sz w:val="24"/>
          <w:fitText w:val="1200" w:id="1"/>
        </w:rPr>
        <w:t>書</w:t>
      </w:r>
    </w:p>
    <w:p>
      <w:pPr>
        <w:pStyle w:val="0"/>
        <w:suppressAutoHyphens w:val="1"/>
        <w:spacing w:line="240" w:lineRule="exact"/>
        <w:ind w:left="424" w:leftChars="200" w:firstLine="0" w:firstLineChars="0"/>
        <w:jc w:val="left"/>
        <w:textAlignment w:val="baseline"/>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宇商指令第　　　　号　　　　　　　　　　　　　　　　　　　　　　　年　　月　　日</w:t>
      </w:r>
    </w:p>
    <w:p>
      <w:pPr>
        <w:pStyle w:val="0"/>
        <w:suppressAutoHyphens w:val="1"/>
        <w:spacing w:line="240" w:lineRule="exact"/>
        <w:ind w:left="450" w:leftChars="100" w:hanging="240" w:hangingChars="100"/>
        <w:textAlignment w:val="baseline"/>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申請のとおり、相違ないことを証明します。</w:t>
      </w:r>
    </w:p>
    <w:p>
      <w:pPr>
        <w:pStyle w:val="0"/>
        <w:suppressAutoHyphens w:val="1"/>
        <w:spacing w:line="240" w:lineRule="exact"/>
        <w:ind w:left="480" w:hanging="480" w:hangingChars="200"/>
        <w:jc w:val="left"/>
        <w:textAlignment w:val="baseline"/>
        <w:rPr>
          <w:rFonts w:hint="eastAsia" w:ascii="ＭＳ ゴシック" w:hAnsi="ＭＳ ゴシック" w:eastAsia="ＭＳ ゴシック"/>
          <w:color w:val="000000"/>
          <w:kern w:val="0"/>
          <w:sz w:val="24"/>
        </w:rPr>
      </w:pPr>
    </w:p>
    <w:p>
      <w:pPr>
        <w:pStyle w:val="0"/>
        <w:suppressAutoHyphens w:val="1"/>
        <w:spacing w:line="240" w:lineRule="exact"/>
        <w:ind w:left="480" w:hanging="480" w:hangingChars="200"/>
        <w:jc w:val="left"/>
        <w:textAlignment w:val="baseline"/>
        <w:rPr>
          <w:rFonts w:hint="default" w:ascii="ＭＳ ゴシック" w:hAnsi="ＭＳ ゴシック" w:eastAsia="ＭＳ ゴシック"/>
          <w:color w:val="000000"/>
          <w:kern w:val="0"/>
          <w:sz w:val="24"/>
          <w:u w:val="single" w:color="auto"/>
        </w:rPr>
      </w:pPr>
      <w:r>
        <w:rPr>
          <w:rFonts w:hint="eastAsia" w:ascii="ＭＳ ゴシック" w:hAnsi="ＭＳ ゴシック" w:eastAsia="ＭＳ ゴシック"/>
          <w:color w:val="000000"/>
          <w:kern w:val="0"/>
          <w:sz w:val="24"/>
          <w:u w:val="single" w:color="auto"/>
        </w:rPr>
        <w:t>（注）信用保証協会への申込期間：　　　　　年　　月　　日から　　　　年　　月　　日まで　</w:t>
      </w:r>
    </w:p>
    <w:p>
      <w:pPr>
        <w:pStyle w:val="0"/>
        <w:suppressAutoHyphens w:val="1"/>
        <w:spacing w:line="240" w:lineRule="exact"/>
        <w:ind w:left="480" w:hanging="480" w:hangingChars="200"/>
        <w:jc w:val="left"/>
        <w:textAlignment w:val="baseline"/>
        <w:rPr>
          <w:rFonts w:hint="default" w:ascii="ＭＳ ゴシック" w:hAnsi="ＭＳ ゴシック" w:eastAsia="ＭＳ ゴシック"/>
          <w:color w:val="000000"/>
          <w:kern w:val="0"/>
          <w:sz w:val="24"/>
        </w:rPr>
      </w:pPr>
    </w:p>
    <w:p>
      <w:pPr>
        <w:pStyle w:val="0"/>
        <w:suppressAutoHyphens w:val="1"/>
        <w:spacing w:line="240" w:lineRule="exact"/>
        <w:ind w:left="480" w:hanging="480" w:hangingChars="200"/>
        <w:jc w:val="left"/>
        <w:textAlignment w:val="baseline"/>
        <w:rPr>
          <w:rFonts w:hint="eastAsia"/>
        </w:rPr>
      </w:pPr>
      <w:r>
        <w:rPr>
          <w:rFonts w:hint="eastAsia"/>
          <w:sz w:val="24"/>
        </w:rPr>
        <w:t>　　　　　　　　　　　　　　　　　　</w:t>
      </w:r>
      <w:r>
        <w:rPr>
          <w:rFonts w:hint="eastAsia" w:ascii="ＭＳ ゴシック" w:hAnsi="ＭＳ ゴシック" w:eastAsia="ＭＳ ゴシック"/>
          <w:sz w:val="24"/>
        </w:rPr>
        <w:t>宇和島市長</w:t>
      </w: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rPr>
          <w:rFonts w:hint="default" w:ascii="ＭＳ ゴシック" w:hAnsi="ＭＳ ゴシック" w:eastAsia="ＭＳ ゴシック"/>
          <w:color w:val="000000"/>
          <w:spacing w:val="-10"/>
          <w:kern w:val="0"/>
        </w:rPr>
      </w:pPr>
    </w:p>
    <w:sectPr>
      <w:pgSz w:w="11906" w:h="16838"/>
      <w:pgMar w:top="720" w:right="720" w:bottom="720" w:left="720"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760CAC4"/>
    <w:lvl w:ilvl="0" w:tplc="4E50DD9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nsid w:val="00000002"/>
    <w:multiLevelType w:val="hybridMultilevel"/>
    <w:tmpl w:val="0B8A1716"/>
    <w:lvl w:ilvl="0" w:tplc="1BD07566">
      <w:start w:val="1"/>
      <w:numFmt w:val="decimalEnclosedCircle"/>
      <w:lvlText w:val="%1"/>
      <w:lvlJc w:val="left"/>
      <w:pPr>
        <w:ind w:left="570" w:hanging="360"/>
      </w:pPr>
      <w:rPr>
        <w:rFonts w:ascii="ＭＳ ゴシック" w:hAnsi="ＭＳ ゴシック" w:eastAsia="ＭＳ ゴシック"/>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TotalTime>
  <Pages>2</Pages>
  <Words>3</Words>
  <Characters>1158</Characters>
  <Application>JUST Note</Application>
  <Lines>95</Lines>
  <Paragraphs>52</Paragraphs>
  <Company>METI</Company>
  <CharactersWithSpaces>2176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5010050</cp:lastModifiedBy>
  <cp:lastPrinted>2024-09-30T11:50:00Z</cp:lastPrinted>
  <dcterms:created xsi:type="dcterms:W3CDTF">2024-09-30T11:54:00Z</dcterms:created>
  <dcterms:modified xsi:type="dcterms:W3CDTF">2024-11-27T07:02:55Z</dcterms:modified>
  <cp:revision>11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