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0" w:afterLines="0" w:afterAutospacing="0"/>
        <w:ind w:firstLine="888" w:firstLineChars="300"/>
        <w:jc w:val="both"/>
        <w:rPr>
          <w:rFonts w:hint="default"/>
          <w:color w:val="auto"/>
          <w:sz w:val="24"/>
        </w:rPr>
      </w:pPr>
      <w:r>
        <w:rPr>
          <w:rFonts w:hint="eastAsia"/>
          <w:color w:val="auto"/>
          <w:sz w:val="24"/>
        </w:rPr>
        <w:t>宇和島市青少年市民協働センター事業実施要綱</w:t>
      </w:r>
    </w:p>
    <w:p>
      <w:pPr>
        <w:pStyle w:val="0"/>
        <w:spacing w:after="0" w:afterLines="0" w:afterAutospacing="0"/>
        <w:jc w:val="left"/>
        <w:rPr>
          <w:rFonts w:hint="default"/>
          <w:color w:val="auto"/>
          <w:sz w:val="24"/>
        </w:rPr>
      </w:pPr>
    </w:p>
    <w:p>
      <w:pPr>
        <w:pStyle w:val="0"/>
        <w:spacing w:before="0" w:beforeLines="0" w:beforeAutospacing="0"/>
        <w:ind w:left="0" w:leftChars="100" w:right="0" w:rightChars="0" w:firstLine="0" w:firstLineChars="0"/>
        <w:jc w:val="left"/>
        <w:rPr>
          <w:rFonts w:hint="eastAsia" w:ascii="ＭＳ Ｐ明朝" w:hAnsi="ＭＳ Ｐ明朝" w:eastAsia="ＭＳ Ｐ明朝"/>
          <w:color w:val="auto"/>
          <w:sz w:val="24"/>
        </w:rPr>
      </w:pPr>
      <w:r>
        <w:rPr>
          <w:rFonts w:hint="eastAsia" w:ascii="ＭＳ Ｐ明朝" w:hAnsi="ＭＳ Ｐ明朝" w:eastAsia="ＭＳ Ｐ明朝"/>
          <w:color w:val="auto"/>
          <w:sz w:val="24"/>
        </w:rPr>
        <w:t>（目的）</w:t>
      </w:r>
    </w:p>
    <w:p>
      <w:pPr>
        <w:pStyle w:val="0"/>
        <w:spacing w:before="0" w:beforeLines="0" w:beforeAutospacing="0"/>
        <w:ind w:left="240" w:hanging="240" w:hangingChars="100"/>
        <w:jc w:val="left"/>
        <w:rPr>
          <w:rFonts w:hint="default"/>
          <w:color w:val="auto"/>
          <w:sz w:val="24"/>
        </w:rPr>
      </w:pPr>
      <w:r>
        <w:rPr>
          <w:rFonts w:hint="default"/>
          <w:color w:val="auto"/>
          <w:sz w:val="24"/>
        </w:rPr>
        <w:t>第１条　</w:t>
      </w:r>
      <w:r>
        <w:rPr>
          <w:rFonts w:hint="eastAsia"/>
          <w:color w:val="auto"/>
          <w:sz w:val="24"/>
        </w:rPr>
        <w:t>「ふるさと宇和島」を未来につなげるために、中央公民館が行う社会教育事業の一環として、人材育成や地域づくりに関わる個人･団体･企業等と行政が協働して、「持続可能な地域社会の創り手」の育成をすることを目的に、宇和島市青少年市民協働センター事業（以下「センター事業」という。）を実施する。</w:t>
      </w:r>
    </w:p>
    <w:p>
      <w:pPr>
        <w:pStyle w:val="0"/>
        <w:spacing w:before="0" w:beforeLines="0" w:beforeAutospacing="0"/>
        <w:ind w:left="0" w:leftChars="100" w:right="0" w:rightChars="0" w:firstLine="0" w:firstLineChars="0"/>
        <w:jc w:val="left"/>
        <w:rPr>
          <w:rFonts w:hint="default"/>
          <w:color w:val="auto"/>
          <w:sz w:val="24"/>
          <w:highlight w:val="none"/>
        </w:rPr>
      </w:pPr>
      <w:r>
        <w:rPr>
          <w:rFonts w:hint="default"/>
          <w:color w:val="auto"/>
          <w:sz w:val="24"/>
          <w:highlight w:val="none"/>
        </w:rPr>
        <w:t>（</w:t>
      </w:r>
      <w:r>
        <w:rPr>
          <w:rFonts w:hint="eastAsia"/>
          <w:color w:val="auto"/>
          <w:sz w:val="24"/>
          <w:highlight w:val="none"/>
        </w:rPr>
        <w:t>事業実施場所</w:t>
      </w:r>
      <w:r>
        <w:rPr>
          <w:rFonts w:hint="default"/>
          <w:color w:val="auto"/>
          <w:sz w:val="24"/>
          <w:highlight w:val="none"/>
        </w:rPr>
        <w:t>）</w:t>
      </w:r>
    </w:p>
    <w:p>
      <w:pPr>
        <w:pStyle w:val="0"/>
        <w:spacing w:before="0" w:beforeLines="0" w:beforeAutospacing="0"/>
        <w:ind w:left="0" w:leftChars="0" w:right="0" w:rightChars="0" w:hanging="296" w:hangingChars="100"/>
        <w:jc w:val="left"/>
        <w:rPr>
          <w:rFonts w:hint="default"/>
          <w:color w:val="auto"/>
          <w:sz w:val="24"/>
          <w:highlight w:val="none"/>
        </w:rPr>
      </w:pPr>
      <w:r>
        <w:rPr>
          <w:rFonts w:hint="default"/>
          <w:color w:val="auto"/>
          <w:sz w:val="24"/>
          <w:highlight w:val="none"/>
        </w:rPr>
        <w:t>第２条　</w:t>
      </w:r>
      <w:r>
        <w:rPr>
          <w:rFonts w:hint="eastAsia"/>
          <w:color w:val="auto"/>
          <w:sz w:val="24"/>
          <w:highlight w:val="none"/>
        </w:rPr>
        <w:t>センター事業は、宇和島市立公民館設置条例（平成１７年条例第９１号）第２条に規定する宇和島市立中央公民館を拠点として実施する。</w:t>
      </w:r>
    </w:p>
    <w:p>
      <w:pPr>
        <w:pStyle w:val="0"/>
        <w:spacing w:before="0" w:beforeLines="0" w:beforeAutospacing="0" w:after="0" w:afterLines="0" w:afterAutospacing="0" w:line="480" w:lineRule="atLeast"/>
        <w:ind w:left="240" w:leftChars="0" w:right="0" w:rightChars="0" w:hanging="240" w:firstLineChars="0"/>
        <w:jc w:val="both"/>
        <w:rPr>
          <w:rFonts w:hint="default"/>
          <w:color w:val="auto"/>
          <w:sz w:val="24"/>
        </w:rPr>
      </w:pPr>
      <w:r>
        <w:rPr>
          <w:rFonts w:hint="default"/>
          <w:color w:val="auto"/>
          <w:sz w:val="24"/>
        </w:rPr>
        <w:t>（事業</w:t>
      </w:r>
      <w:r>
        <w:rPr>
          <w:rFonts w:hint="eastAsia"/>
          <w:color w:val="auto"/>
          <w:sz w:val="24"/>
        </w:rPr>
        <w:t>内容</w:t>
      </w:r>
      <w:r>
        <w:rPr>
          <w:rFonts w:hint="default"/>
          <w:color w:val="auto"/>
          <w:sz w:val="24"/>
        </w:rPr>
        <w:t>）</w:t>
      </w:r>
    </w:p>
    <w:p>
      <w:pPr>
        <w:pStyle w:val="0"/>
        <w:spacing w:before="0" w:beforeLines="0" w:beforeAutospacing="0"/>
        <w:ind w:left="296" w:hanging="296" w:hangingChars="100"/>
        <w:jc w:val="left"/>
        <w:rPr>
          <w:rFonts w:hint="default"/>
          <w:color w:val="auto"/>
          <w:sz w:val="24"/>
        </w:rPr>
      </w:pPr>
      <w:r>
        <w:rPr>
          <w:rFonts w:hint="default"/>
          <w:color w:val="auto"/>
          <w:sz w:val="24"/>
        </w:rPr>
        <w:t>第</w:t>
      </w:r>
      <w:r>
        <w:rPr>
          <w:rFonts w:hint="eastAsia"/>
          <w:color w:val="auto"/>
          <w:sz w:val="24"/>
        </w:rPr>
        <w:t>３</w:t>
      </w:r>
      <w:r>
        <w:rPr>
          <w:rFonts w:hint="default"/>
          <w:color w:val="auto"/>
          <w:sz w:val="24"/>
        </w:rPr>
        <w:t>条　センター</w:t>
      </w:r>
      <w:r>
        <w:rPr>
          <w:rFonts w:hint="eastAsia"/>
          <w:color w:val="auto"/>
          <w:sz w:val="24"/>
        </w:rPr>
        <w:t>事業</w:t>
      </w:r>
      <w:r>
        <w:rPr>
          <w:rFonts w:hint="default"/>
          <w:color w:val="auto"/>
          <w:sz w:val="24"/>
        </w:rPr>
        <w:t>は、次に掲げる</w:t>
      </w:r>
      <w:r>
        <w:rPr>
          <w:rFonts w:hint="eastAsia"/>
          <w:color w:val="auto"/>
          <w:sz w:val="24"/>
        </w:rPr>
        <w:t>ものとする</w:t>
      </w:r>
      <w:r>
        <w:rPr>
          <w:rFonts w:hint="default"/>
          <w:color w:val="auto"/>
          <w:sz w:val="24"/>
        </w:rPr>
        <w:t>。</w:t>
      </w:r>
    </w:p>
    <w:p>
      <w:pPr>
        <w:pStyle w:val="0"/>
        <w:numPr>
          <w:ilvl w:val="0"/>
          <w:numId w:val="1"/>
        </w:numPr>
        <w:spacing w:before="0" w:beforeLines="0" w:beforeAutospacing="0"/>
        <w:ind w:left="1183" w:lef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人材育成に関すること。</w:t>
      </w:r>
    </w:p>
    <w:p>
      <w:pPr>
        <w:pStyle w:val="0"/>
        <w:numPr>
          <w:ilvl w:val="0"/>
          <w:numId w:val="1"/>
        </w:numPr>
        <w:spacing w:before="0" w:beforeLines="0" w:beforeAutospacing="0"/>
        <w:ind w:left="1183" w:lef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人づくり･地域づくりに関わる活動の支援に関すること。</w:t>
      </w:r>
    </w:p>
    <w:p>
      <w:pPr>
        <w:pStyle w:val="0"/>
        <w:numPr>
          <w:ilvl w:val="0"/>
          <w:numId w:val="1"/>
        </w:numPr>
        <w:spacing w:before="0" w:beforeLines="0" w:beforeAutospacing="0"/>
        <w:ind w:left="1183" w:lef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青少年と地域をつなぐ活動に関すること。</w:t>
      </w:r>
    </w:p>
    <w:p>
      <w:pPr>
        <w:pStyle w:val="0"/>
        <w:numPr>
          <w:ilvl w:val="0"/>
          <w:numId w:val="1"/>
        </w:numPr>
        <w:spacing w:before="0" w:beforeLines="0" w:beforeAutospacing="0"/>
        <w:ind w:left="1183" w:lef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講座、講演会等の実施に関すること。</w:t>
      </w:r>
    </w:p>
    <w:p>
      <w:pPr>
        <w:pStyle w:val="0"/>
        <w:numPr>
          <w:ilvl w:val="0"/>
          <w:numId w:val="1"/>
        </w:numPr>
        <w:spacing w:before="0" w:beforeLines="0" w:beforeAutospacing="0"/>
        <w:ind w:left="1183" w:lef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地区公民館及び関係機関との連携及び協力に関すること。</w:t>
      </w:r>
    </w:p>
    <w:p>
      <w:pPr>
        <w:pStyle w:val="0"/>
        <w:numPr>
          <w:ilvl w:val="0"/>
          <w:numId w:val="1"/>
        </w:numPr>
        <w:spacing w:before="0" w:beforeLines="0" w:beforeAutospacing="0"/>
        <w:ind w:left="1183" w:lef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施設及び設備の提供に関すること。</w:t>
      </w:r>
    </w:p>
    <w:p>
      <w:pPr>
        <w:pStyle w:val="17"/>
        <w:numPr>
          <w:ilvl w:val="0"/>
          <w:numId w:val="1"/>
        </w:numPr>
        <w:ind w:left="1183" w:lef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その他目的達成に必要な事業に関すること。</w:t>
      </w:r>
    </w:p>
    <w:p>
      <w:pPr>
        <w:pStyle w:val="0"/>
        <w:spacing w:before="0" w:beforeLines="0" w:beforeAutospacing="0"/>
        <w:ind w:left="210" w:leftChars="100"/>
        <w:jc w:val="left"/>
        <w:rPr>
          <w:rFonts w:hint="eastAsia"/>
          <w:color w:val="auto"/>
          <w:sz w:val="24"/>
        </w:rPr>
      </w:pPr>
      <w:r>
        <w:rPr>
          <w:rFonts w:hint="eastAsia"/>
          <w:color w:val="auto"/>
          <w:sz w:val="24"/>
        </w:rPr>
        <w:t>（利用時間等）</w:t>
      </w:r>
    </w:p>
    <w:p>
      <w:pPr>
        <w:pStyle w:val="0"/>
        <w:spacing w:before="0" w:beforeLines="0" w:beforeAutospacing="0"/>
        <w:ind w:left="240" w:hanging="240" w:hangingChars="100"/>
        <w:jc w:val="left"/>
        <w:rPr>
          <w:rFonts w:hint="eastAsia"/>
          <w:color w:val="auto"/>
          <w:sz w:val="24"/>
        </w:rPr>
      </w:pPr>
      <w:r>
        <w:rPr>
          <w:rFonts w:hint="eastAsia"/>
          <w:color w:val="auto"/>
          <w:sz w:val="24"/>
        </w:rPr>
        <w:t>第４条　センター事業は、次に掲げる日を除き、午前９時から午後７時まで実施する。ただし、教育委員会が必要と認める場合は、これを変更することができる。</w:t>
      </w:r>
    </w:p>
    <w:p>
      <w:pPr>
        <w:pStyle w:val="17"/>
        <w:numPr>
          <w:ilvl w:val="0"/>
          <w:numId w:val="2"/>
        </w:numPr>
        <w:spacing w:before="0" w:beforeLines="0" w:beforeAutospacing="0"/>
        <w:ind w:left="1183" w:leftChars="0" w:right="0" w:righ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月曜日</w:t>
      </w:r>
    </w:p>
    <w:p>
      <w:pPr>
        <w:pStyle w:val="17"/>
        <w:numPr>
          <w:ilvl w:val="0"/>
          <w:numId w:val="2"/>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国民の祝日に関する法律（昭和２３年法律第１７８号）に定める休日（ただし、月曜日が祝日の場合は、その翌日を振替日とする。）</w:t>
      </w:r>
    </w:p>
    <w:p>
      <w:pPr>
        <w:pStyle w:val="17"/>
        <w:numPr>
          <w:ilvl w:val="0"/>
          <w:numId w:val="2"/>
        </w:numPr>
        <w:spacing w:before="0" w:beforeLines="0" w:beforeAutospacing="0"/>
        <w:ind w:left="1183" w:leftChars="0" w:right="0" w:righ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１２月２９日から翌年の１月３日まで</w:t>
      </w:r>
    </w:p>
    <w:p>
      <w:pPr>
        <w:pStyle w:val="0"/>
        <w:spacing w:before="0" w:beforeLines="0" w:beforeAutospacing="0"/>
        <w:ind w:left="210" w:leftChars="100"/>
        <w:jc w:val="left"/>
        <w:rPr>
          <w:rFonts w:hint="eastAsia"/>
          <w:color w:val="auto"/>
          <w:sz w:val="24"/>
        </w:rPr>
      </w:pPr>
      <w:r>
        <w:rPr>
          <w:rFonts w:hint="eastAsia"/>
          <w:color w:val="auto"/>
          <w:sz w:val="24"/>
        </w:rPr>
        <w:t>（利用者の範囲）</w:t>
      </w:r>
    </w:p>
    <w:p>
      <w:pPr>
        <w:pStyle w:val="0"/>
        <w:spacing w:before="0" w:beforeLines="0" w:beforeAutospacing="0"/>
        <w:ind w:left="296" w:hanging="296" w:hangingChars="100"/>
        <w:jc w:val="left"/>
        <w:rPr>
          <w:rFonts w:hint="eastAsia"/>
          <w:color w:val="auto"/>
          <w:sz w:val="24"/>
        </w:rPr>
      </w:pPr>
      <w:r>
        <w:rPr>
          <w:rFonts w:hint="eastAsia"/>
          <w:color w:val="auto"/>
          <w:sz w:val="24"/>
        </w:rPr>
        <w:t>第５条　センター事業を利用できる者は、次の各号のいずれかに該当するものとする。</w:t>
      </w:r>
    </w:p>
    <w:p>
      <w:pPr>
        <w:pStyle w:val="17"/>
        <w:numPr>
          <w:ilvl w:val="0"/>
          <w:numId w:val="3"/>
        </w:numPr>
        <w:spacing w:before="0" w:beforeLines="0" w:beforeAutospacing="0"/>
        <w:ind w:left="1183" w:leftChars="0" w:right="0" w:righ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市内に在住し、在勤し、若しくは在学する個人</w:t>
      </w:r>
    </w:p>
    <w:p>
      <w:pPr>
        <w:pStyle w:val="17"/>
        <w:numPr>
          <w:ilvl w:val="0"/>
          <w:numId w:val="3"/>
        </w:numPr>
        <w:spacing w:before="0" w:beforeLines="0" w:beforeAutospacing="0"/>
        <w:ind w:left="1183" w:leftChars="0" w:right="0" w:righ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宇和島市ＮＰＯ登録制度で登録している団体</w:t>
      </w:r>
    </w:p>
    <w:p>
      <w:pPr>
        <w:pStyle w:val="17"/>
        <w:numPr>
          <w:ilvl w:val="0"/>
          <w:numId w:val="3"/>
        </w:numPr>
        <w:spacing w:before="0" w:beforeLines="0" w:beforeAutospacing="0"/>
        <w:ind w:left="1183" w:leftChars="0" w:right="0" w:righ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市内で公益活動を行い、又は行おうとする個人又は団体</w:t>
      </w:r>
    </w:p>
    <w:p>
      <w:pPr>
        <w:pStyle w:val="17"/>
        <w:numPr>
          <w:ilvl w:val="0"/>
          <w:numId w:val="3"/>
        </w:numPr>
        <w:spacing w:before="0" w:beforeLines="0" w:beforeAutospacing="0"/>
        <w:ind w:left="1183" w:leftChars="0" w:right="0" w:rightChars="0" w:hanging="945"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前各号に掲げるもののほか、教育委員会が適当と認めるもの</w:t>
      </w:r>
    </w:p>
    <w:p>
      <w:pPr>
        <w:pStyle w:val="0"/>
        <w:rPr>
          <w:rFonts w:hint="eastAsia"/>
          <w:color w:val="auto"/>
          <w:sz w:val="24"/>
        </w:rPr>
      </w:pPr>
      <w:r>
        <w:rPr>
          <w:rFonts w:hint="eastAsia"/>
          <w:color w:val="auto"/>
          <w:sz w:val="24"/>
        </w:rPr>
        <w:t>（利用の制限）</w:t>
      </w:r>
    </w:p>
    <w:p>
      <w:pPr>
        <w:pStyle w:val="0"/>
        <w:spacing w:before="0" w:beforeLines="0" w:beforeAutospacing="0"/>
        <w:ind w:left="240" w:hanging="240" w:hangingChars="100"/>
        <w:jc w:val="left"/>
        <w:rPr>
          <w:rFonts w:hint="eastAsia"/>
          <w:color w:val="auto"/>
          <w:sz w:val="24"/>
        </w:rPr>
      </w:pPr>
      <w:r>
        <w:rPr>
          <w:rFonts w:hint="eastAsia"/>
          <w:color w:val="auto"/>
          <w:sz w:val="24"/>
        </w:rPr>
        <w:t>第６条　教育委員会は、センター事業を利用する個人又は団体（以下「利用者」という）が次の各号のいずれかに該当する場合は、その利用を制限し、又は中止させることができる。</w:t>
      </w:r>
    </w:p>
    <w:p>
      <w:pPr>
        <w:pStyle w:val="17"/>
        <w:numPr>
          <w:ilvl w:val="0"/>
          <w:numId w:val="4"/>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前条に該当しないとき又はそのおそれがあるとき。</w:t>
      </w:r>
    </w:p>
    <w:p>
      <w:pPr>
        <w:pStyle w:val="17"/>
        <w:numPr>
          <w:ilvl w:val="0"/>
          <w:numId w:val="4"/>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公の秩序を害し、又は善良な風俗を乱すおそれがあるとき。</w:t>
      </w:r>
    </w:p>
    <w:p>
      <w:pPr>
        <w:pStyle w:val="17"/>
        <w:numPr>
          <w:ilvl w:val="0"/>
          <w:numId w:val="4"/>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営利を目的とした活動に利用したとき又は利用するおそれがあるとき。</w:t>
      </w:r>
    </w:p>
    <w:p>
      <w:pPr>
        <w:pStyle w:val="17"/>
        <w:numPr>
          <w:ilvl w:val="0"/>
          <w:numId w:val="4"/>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施設又は設備を損壊し、若しくは滅失したとき又は損壊し、若しくは滅失するおそれがあるとき。</w:t>
      </w:r>
    </w:p>
    <w:p>
      <w:pPr>
        <w:pStyle w:val="17"/>
        <w:numPr>
          <w:ilvl w:val="0"/>
          <w:numId w:val="4"/>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政治的又は宗教的な活動に利用したとき又は利用するおそれがあるとき。</w:t>
      </w:r>
    </w:p>
    <w:p>
      <w:pPr>
        <w:pStyle w:val="17"/>
        <w:numPr>
          <w:ilvl w:val="0"/>
          <w:numId w:val="4"/>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暴力団員による不当な行為の防止等に関する法律（平成３年法律第７７号）第２条第２号に規定する暴力団又は暴力団の構成員であるとき。</w:t>
      </w:r>
    </w:p>
    <w:p>
      <w:pPr>
        <w:pStyle w:val="17"/>
        <w:numPr>
          <w:ilvl w:val="0"/>
          <w:numId w:val="4"/>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前各号に掲げるもののほか、教育委員会がセンター事業の目的に反するまたは運営上支障があると認めたとき。</w:t>
      </w:r>
    </w:p>
    <w:p>
      <w:pPr>
        <w:pStyle w:val="0"/>
        <w:spacing w:before="0" w:beforeLines="0" w:beforeAutospacing="0"/>
        <w:ind w:left="210" w:leftChars="100"/>
        <w:jc w:val="left"/>
        <w:rPr>
          <w:rFonts w:hint="eastAsia"/>
          <w:color w:val="auto"/>
          <w:sz w:val="24"/>
        </w:rPr>
      </w:pPr>
      <w:r>
        <w:rPr>
          <w:rFonts w:hint="eastAsia"/>
          <w:color w:val="auto"/>
          <w:sz w:val="24"/>
        </w:rPr>
        <w:t>（備品の使用）</w:t>
      </w:r>
    </w:p>
    <w:p>
      <w:pPr>
        <w:pStyle w:val="0"/>
        <w:spacing w:before="0" w:beforeLines="0" w:beforeAutospacing="0"/>
        <w:ind w:left="240" w:hanging="240" w:hangingChars="100"/>
        <w:jc w:val="left"/>
        <w:rPr>
          <w:rFonts w:hint="eastAsia"/>
          <w:color w:val="auto"/>
          <w:sz w:val="24"/>
        </w:rPr>
      </w:pPr>
      <w:r>
        <w:rPr>
          <w:rFonts w:hint="eastAsia"/>
          <w:color w:val="auto"/>
          <w:sz w:val="24"/>
        </w:rPr>
        <w:t>第７条　印刷機、パソコン等の中央公民館所管備品（以下「備品」という。）を使用しようとする者（以下「使用者」という。）は、宇和島市立中央公民館備品使用申込書（様式第１号）により教育委員会に申し込まなければならない。</w:t>
      </w:r>
    </w:p>
    <w:p>
      <w:pPr>
        <w:pStyle w:val="0"/>
        <w:spacing w:before="0" w:beforeLines="0" w:beforeAutospacing="0"/>
        <w:ind w:left="240" w:hanging="240" w:hangingChars="100"/>
        <w:jc w:val="left"/>
        <w:rPr>
          <w:rFonts w:hint="eastAsia"/>
          <w:color w:val="auto"/>
          <w:sz w:val="24"/>
        </w:rPr>
      </w:pPr>
      <w:r>
        <w:rPr>
          <w:rFonts w:hint="eastAsia"/>
          <w:color w:val="auto"/>
          <w:sz w:val="24"/>
        </w:rPr>
        <w:t>２　使用者は、備品を使用した場合は、別表に掲げるところにより、使用実費を負担しなければならない。ただし、１０円未満の端数が生じた場合は、これを切り捨てるものとする。</w:t>
      </w:r>
    </w:p>
    <w:p>
      <w:pPr>
        <w:pStyle w:val="0"/>
        <w:spacing w:before="0" w:beforeLines="0" w:beforeAutospacing="0"/>
        <w:ind w:left="240" w:hanging="240" w:hangingChars="100"/>
        <w:jc w:val="left"/>
        <w:rPr>
          <w:rFonts w:hint="eastAsia"/>
          <w:color w:val="auto"/>
          <w:sz w:val="24"/>
        </w:rPr>
      </w:pPr>
      <w:r>
        <w:rPr>
          <w:rFonts w:hint="eastAsia"/>
          <w:color w:val="auto"/>
          <w:sz w:val="24"/>
        </w:rPr>
        <w:t>３　使用者は、備品を破損し、又は汚損した場合は、自らの責任と負担により、補修等必要な処置を行い、原状に復さなければならない。</w:t>
      </w:r>
    </w:p>
    <w:p>
      <w:pPr>
        <w:pStyle w:val="0"/>
        <w:spacing w:before="0" w:beforeLines="0" w:beforeAutospacing="0"/>
        <w:ind w:left="240" w:hanging="240" w:hangingChars="100"/>
        <w:jc w:val="left"/>
        <w:rPr>
          <w:rFonts w:hint="eastAsia"/>
          <w:color w:val="auto"/>
          <w:sz w:val="24"/>
        </w:rPr>
      </w:pPr>
      <w:r>
        <w:rPr>
          <w:rFonts w:hint="eastAsia"/>
          <w:color w:val="auto"/>
          <w:sz w:val="24"/>
        </w:rPr>
        <w:t>４　教育委員会は、備品の補修等が困難な状態まで破損し、又は汚損している場合は、使用者に対し実費弁償させることができる。</w:t>
      </w:r>
    </w:p>
    <w:p>
      <w:pPr>
        <w:pStyle w:val="0"/>
        <w:spacing w:before="0" w:beforeLines="0" w:beforeAutospacing="0"/>
        <w:ind w:left="240" w:hanging="240" w:hangingChars="100"/>
        <w:jc w:val="left"/>
        <w:rPr>
          <w:rFonts w:hint="eastAsia"/>
          <w:color w:val="auto"/>
          <w:sz w:val="24"/>
        </w:rPr>
      </w:pPr>
      <w:r>
        <w:rPr>
          <w:rFonts w:hint="eastAsia"/>
          <w:color w:val="auto"/>
          <w:sz w:val="24"/>
        </w:rPr>
        <w:t>５　使用者が被った損害又は使用者が第三者に与えた損害に対しては、市はその責めを負わない。</w:t>
      </w:r>
    </w:p>
    <w:p>
      <w:pPr>
        <w:pStyle w:val="0"/>
        <w:spacing w:before="0" w:beforeLines="0" w:beforeAutospacing="0"/>
        <w:ind w:left="210" w:leftChars="100"/>
        <w:jc w:val="left"/>
        <w:rPr>
          <w:rFonts w:hint="eastAsia"/>
          <w:color w:val="auto"/>
          <w:sz w:val="24"/>
        </w:rPr>
      </w:pPr>
      <w:r>
        <w:rPr>
          <w:rFonts w:hint="eastAsia"/>
          <w:color w:val="auto"/>
          <w:sz w:val="24"/>
        </w:rPr>
        <w:t>（登録）</w:t>
      </w:r>
    </w:p>
    <w:p>
      <w:pPr>
        <w:pStyle w:val="0"/>
        <w:spacing w:before="0" w:beforeLines="0" w:beforeAutospacing="0"/>
        <w:ind w:left="296" w:hanging="296" w:hangingChars="100"/>
        <w:jc w:val="left"/>
        <w:rPr>
          <w:rFonts w:hint="eastAsia"/>
          <w:color w:val="auto"/>
          <w:sz w:val="24"/>
        </w:rPr>
      </w:pPr>
      <w:r>
        <w:rPr>
          <w:rFonts w:hint="eastAsia"/>
          <w:color w:val="auto"/>
          <w:sz w:val="24"/>
        </w:rPr>
        <w:t>第８条　団体が次に掲げる設備を利用する場合は、登録をしなければならない。</w:t>
      </w:r>
    </w:p>
    <w:p>
      <w:pPr>
        <w:pStyle w:val="17"/>
        <w:numPr>
          <w:ilvl w:val="0"/>
          <w:numId w:val="5"/>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多目的室１、多目的室２及び視聴覚室を利用するとき。</w:t>
      </w:r>
    </w:p>
    <w:p>
      <w:pPr>
        <w:pStyle w:val="17"/>
        <w:numPr>
          <w:ilvl w:val="0"/>
          <w:numId w:val="5"/>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閲覧コーナーにおける掲示、配架等をするとき。</w:t>
      </w:r>
    </w:p>
    <w:p>
      <w:pPr>
        <w:pStyle w:val="17"/>
        <w:numPr>
          <w:ilvl w:val="0"/>
          <w:numId w:val="5"/>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本市のホームページ等による団体紹介を希望するとき。</w:t>
      </w:r>
    </w:p>
    <w:p>
      <w:pPr>
        <w:pStyle w:val="17"/>
        <w:numPr>
          <w:ilvl w:val="0"/>
          <w:numId w:val="5"/>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その他教育委員会が必要と認めたとき。</w:t>
      </w:r>
    </w:p>
    <w:p>
      <w:pPr>
        <w:pStyle w:val="0"/>
        <w:spacing w:before="0" w:beforeLines="0" w:beforeAutospacing="0"/>
        <w:ind w:left="240" w:hanging="240" w:hangingChars="100"/>
        <w:jc w:val="left"/>
        <w:rPr>
          <w:rFonts w:hint="eastAsia"/>
          <w:color w:val="auto"/>
          <w:sz w:val="24"/>
        </w:rPr>
      </w:pPr>
      <w:r>
        <w:rPr>
          <w:rFonts w:hint="eastAsia"/>
          <w:color w:val="auto"/>
          <w:sz w:val="24"/>
        </w:rPr>
        <w:t>２　前項の登録は、宇和島市青少年市民協働センター事業団体登録申請書（様式第２号。以下「登録申請書」という。）に関係書類を添えて教育委員会に提出する。</w:t>
      </w:r>
    </w:p>
    <w:p>
      <w:pPr>
        <w:pStyle w:val="0"/>
        <w:spacing w:before="0" w:beforeLines="0" w:beforeAutospacing="0"/>
        <w:ind w:left="0" w:leftChars="100" w:right="0" w:rightChars="0" w:firstLine="0" w:firstLineChars="0"/>
        <w:jc w:val="left"/>
        <w:rPr>
          <w:rFonts w:hint="eastAsia"/>
          <w:color w:val="auto"/>
          <w:sz w:val="24"/>
        </w:rPr>
      </w:pPr>
      <w:r>
        <w:rPr>
          <w:rFonts w:hint="eastAsia"/>
          <w:color w:val="auto"/>
          <w:sz w:val="24"/>
        </w:rPr>
        <w:t>（登録の承認）</w:t>
      </w:r>
    </w:p>
    <w:p>
      <w:pPr>
        <w:pStyle w:val="0"/>
        <w:spacing w:before="0" w:beforeLines="0" w:beforeAutospacing="0"/>
        <w:ind w:left="240" w:hanging="240" w:hangingChars="100"/>
        <w:jc w:val="left"/>
        <w:rPr>
          <w:rFonts w:hint="eastAsia"/>
          <w:color w:val="auto"/>
          <w:sz w:val="24"/>
        </w:rPr>
      </w:pPr>
      <w:r>
        <w:rPr>
          <w:rFonts w:hint="eastAsia"/>
          <w:color w:val="auto"/>
          <w:sz w:val="24"/>
        </w:rPr>
        <w:t>第９条　教育委員会は、登録申請書を受理した場合は、その内容を審査し、適当と認めたときは、登録を承認し、書面により通知するものとする。</w:t>
      </w:r>
    </w:p>
    <w:p>
      <w:pPr>
        <w:pStyle w:val="0"/>
        <w:spacing w:before="0" w:beforeLines="0" w:beforeAutospacing="0"/>
        <w:ind w:left="0" w:leftChars="100" w:right="0" w:rightChars="0" w:firstLine="0" w:firstLineChars="0"/>
        <w:jc w:val="left"/>
        <w:rPr>
          <w:rFonts w:hint="eastAsia"/>
          <w:color w:val="auto"/>
          <w:sz w:val="24"/>
        </w:rPr>
      </w:pPr>
      <w:r>
        <w:rPr>
          <w:rFonts w:hint="eastAsia"/>
          <w:color w:val="auto"/>
          <w:sz w:val="24"/>
        </w:rPr>
        <w:t>（登録の変更・抹消）</w:t>
      </w:r>
    </w:p>
    <w:p>
      <w:pPr>
        <w:pStyle w:val="0"/>
        <w:spacing w:before="0" w:beforeLines="0" w:beforeAutospacing="0"/>
        <w:ind w:left="240" w:hanging="240" w:hangingChars="100"/>
        <w:jc w:val="left"/>
        <w:rPr>
          <w:rFonts w:hint="eastAsia"/>
          <w:color w:val="auto"/>
          <w:sz w:val="24"/>
        </w:rPr>
      </w:pPr>
      <w:r>
        <w:rPr>
          <w:rFonts w:hint="eastAsia"/>
          <w:color w:val="auto"/>
          <w:sz w:val="24"/>
        </w:rPr>
        <w:t>第１０条　登録を受けた団体（以下「登録団体」という。）は、登録申請書の内容に変更が生じたとき又は解散その他の理由により登録を抹消するときは、登録団体の代表者は、宇和島市青少年市民協働センター事業登録変更・抹消届（様式第３号。以下「変更・削除届」という。）により、遅滞なく教育委員会に届け出なければならない。</w:t>
      </w:r>
    </w:p>
    <w:p>
      <w:pPr>
        <w:pStyle w:val="0"/>
        <w:spacing w:before="0" w:beforeLines="0" w:beforeAutospacing="0"/>
        <w:ind w:left="210" w:leftChars="100"/>
        <w:jc w:val="left"/>
        <w:rPr>
          <w:rFonts w:hint="eastAsia"/>
          <w:color w:val="auto"/>
          <w:sz w:val="24"/>
        </w:rPr>
      </w:pPr>
      <w:r>
        <w:rPr>
          <w:rFonts w:hint="eastAsia"/>
          <w:color w:val="auto"/>
          <w:sz w:val="24"/>
        </w:rPr>
        <w:t>（登録情報の提供）</w:t>
      </w:r>
    </w:p>
    <w:p>
      <w:pPr>
        <w:pStyle w:val="0"/>
        <w:spacing w:before="0" w:beforeLines="0" w:beforeAutospacing="0"/>
        <w:ind w:left="240" w:hanging="240" w:hangingChars="100"/>
        <w:jc w:val="left"/>
        <w:rPr>
          <w:rFonts w:hint="eastAsia"/>
          <w:color w:val="auto"/>
          <w:sz w:val="24"/>
        </w:rPr>
      </w:pPr>
      <w:r>
        <w:rPr>
          <w:rFonts w:hint="eastAsia"/>
          <w:color w:val="auto"/>
          <w:sz w:val="24"/>
        </w:rPr>
        <w:t>第１１条　教育委員会は、登録申請書及び変更・抹消届の内容に基づき、登録団体の情報を市民等に対し、提供することができる。</w:t>
      </w:r>
    </w:p>
    <w:p>
      <w:pPr>
        <w:pStyle w:val="0"/>
        <w:spacing w:before="0" w:beforeLines="0" w:beforeAutospacing="0"/>
        <w:ind w:left="210" w:leftChars="100"/>
        <w:jc w:val="left"/>
        <w:rPr>
          <w:rFonts w:hint="eastAsia"/>
          <w:color w:val="auto"/>
          <w:sz w:val="24"/>
        </w:rPr>
      </w:pPr>
      <w:r>
        <w:rPr>
          <w:rFonts w:hint="eastAsia"/>
          <w:color w:val="auto"/>
          <w:sz w:val="24"/>
        </w:rPr>
        <w:t>（登録の抹消）</w:t>
      </w:r>
    </w:p>
    <w:p>
      <w:pPr>
        <w:pStyle w:val="0"/>
        <w:spacing w:before="0" w:beforeLines="0" w:beforeAutospacing="0"/>
        <w:ind w:left="240" w:hanging="240" w:hangingChars="100"/>
        <w:jc w:val="left"/>
        <w:rPr>
          <w:rFonts w:hint="eastAsia"/>
          <w:color w:val="auto"/>
          <w:sz w:val="24"/>
        </w:rPr>
      </w:pPr>
      <w:r>
        <w:rPr>
          <w:rFonts w:hint="eastAsia"/>
          <w:color w:val="auto"/>
          <w:sz w:val="24"/>
        </w:rPr>
        <w:t>第１２条　教育委員会は、登録団体が次の各号のいずれかに該当する場合は、その登録を抹消することができる。</w:t>
      </w:r>
    </w:p>
    <w:p>
      <w:pPr>
        <w:pStyle w:val="17"/>
        <w:numPr>
          <w:ilvl w:val="0"/>
          <w:numId w:val="6"/>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登録団体が解散したとき。</w:t>
      </w:r>
    </w:p>
    <w:p>
      <w:pPr>
        <w:pStyle w:val="17"/>
        <w:numPr>
          <w:ilvl w:val="0"/>
          <w:numId w:val="6"/>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登録団体としての第６条に該当しないことが判明したとき。</w:t>
      </w:r>
    </w:p>
    <w:p>
      <w:pPr>
        <w:pStyle w:val="17"/>
        <w:numPr>
          <w:ilvl w:val="0"/>
          <w:numId w:val="6"/>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この要綱の定めに違反したとき。</w:t>
      </w:r>
    </w:p>
    <w:p>
      <w:pPr>
        <w:pStyle w:val="17"/>
        <w:numPr>
          <w:ilvl w:val="0"/>
          <w:numId w:val="6"/>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その他教育委員会が不適当と認めたとき。</w:t>
      </w:r>
    </w:p>
    <w:p>
      <w:pPr>
        <w:pStyle w:val="0"/>
        <w:spacing w:before="0" w:beforeLines="0" w:beforeAutospacing="0"/>
        <w:ind w:left="210" w:leftChars="100"/>
        <w:jc w:val="left"/>
        <w:rPr>
          <w:rFonts w:hint="eastAsia"/>
          <w:color w:val="auto"/>
          <w:sz w:val="24"/>
        </w:rPr>
      </w:pPr>
      <w:r>
        <w:rPr>
          <w:rFonts w:hint="eastAsia"/>
          <w:color w:val="auto"/>
          <w:sz w:val="24"/>
        </w:rPr>
        <w:t>（運営委員会）</w:t>
      </w:r>
    </w:p>
    <w:p>
      <w:pPr>
        <w:pStyle w:val="0"/>
        <w:spacing w:before="0" w:beforeLines="0" w:beforeAutospacing="0"/>
        <w:ind w:left="240" w:hanging="240" w:hangingChars="100"/>
        <w:jc w:val="left"/>
        <w:rPr>
          <w:rFonts w:hint="eastAsia"/>
          <w:color w:val="auto"/>
          <w:sz w:val="24"/>
        </w:rPr>
      </w:pPr>
      <w:r>
        <w:rPr>
          <w:rFonts w:hint="eastAsia"/>
          <w:color w:val="auto"/>
          <w:sz w:val="24"/>
        </w:rPr>
        <w:t>第１３条　センター事業の円滑な運営を図るため、宇和島市青少年市民協働センター事業運営委員会（以下「委員会」という。）を置くことができる。</w:t>
      </w:r>
    </w:p>
    <w:p>
      <w:pPr>
        <w:pStyle w:val="0"/>
        <w:spacing w:before="0" w:beforeLines="0" w:beforeAutospacing="0"/>
        <w:ind w:left="240" w:hanging="240" w:hangingChars="100"/>
        <w:jc w:val="left"/>
        <w:rPr>
          <w:rFonts w:hint="eastAsia"/>
          <w:color w:val="auto"/>
          <w:sz w:val="24"/>
          <w:highlight w:val="none"/>
        </w:rPr>
      </w:pPr>
      <w:r>
        <w:rPr>
          <w:rFonts w:hint="eastAsia"/>
          <w:color w:val="auto"/>
          <w:sz w:val="24"/>
          <w:highlight w:val="none"/>
        </w:rPr>
        <w:t>２　委員会は、目的達成のための諸問題等について協議する。</w:t>
      </w:r>
    </w:p>
    <w:p>
      <w:pPr>
        <w:pStyle w:val="0"/>
        <w:spacing w:before="0" w:beforeLines="0" w:beforeAutospacing="0"/>
        <w:ind w:left="240" w:hanging="240" w:hangingChars="100"/>
        <w:jc w:val="left"/>
        <w:rPr>
          <w:rFonts w:hint="eastAsia"/>
          <w:color w:val="auto"/>
          <w:sz w:val="24"/>
          <w:highlight w:val="none"/>
        </w:rPr>
      </w:pPr>
      <w:r>
        <w:rPr>
          <w:rFonts w:hint="eastAsia"/>
          <w:color w:val="auto"/>
          <w:sz w:val="24"/>
          <w:highlight w:val="none"/>
        </w:rPr>
        <w:t>３　委員会の委員は、委員１０人以内で構成とし、次に掲げる者のうちから教育委員会が委嘱、又は任命する。</w:t>
      </w:r>
    </w:p>
    <w:p>
      <w:pPr>
        <w:pStyle w:val="17"/>
        <w:numPr>
          <w:ilvl w:val="0"/>
          <w:numId w:val="7"/>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社会教育関係者、民間団体、学識経験者及び行政関係者</w:t>
      </w:r>
    </w:p>
    <w:p>
      <w:pPr>
        <w:pStyle w:val="17"/>
        <w:numPr>
          <w:ilvl w:val="0"/>
          <w:numId w:val="7"/>
        </w:numPr>
        <w:tabs>
          <w:tab w:val="clear" w:pos="1216"/>
          <w:tab w:val="left" w:leader="none" w:pos="1180"/>
        </w:tabs>
        <w:spacing w:before="0" w:beforeLines="0" w:beforeAutospacing="0"/>
        <w:ind w:left="530" w:leftChars="0" w:right="0" w:rightChars="0" w:hanging="292" w:firstLineChars="0"/>
        <w:jc w:val="both"/>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前号に掲げる者のほか、教育委員会が適当と認める者</w:t>
      </w:r>
    </w:p>
    <w:p>
      <w:pPr>
        <w:pStyle w:val="0"/>
        <w:spacing w:before="0" w:beforeLines="0" w:beforeAutospacing="0"/>
        <w:ind w:left="240" w:hanging="240" w:hangingChars="100"/>
        <w:jc w:val="left"/>
        <w:rPr>
          <w:rFonts w:hint="eastAsia"/>
          <w:color w:val="auto"/>
          <w:sz w:val="24"/>
        </w:rPr>
      </w:pPr>
      <w:r>
        <w:rPr>
          <w:rFonts w:hint="eastAsia"/>
          <w:color w:val="auto"/>
          <w:sz w:val="24"/>
        </w:rPr>
        <w:t>４　委員の任期は、２年とし、再任を防げない。</w:t>
      </w:r>
    </w:p>
    <w:p>
      <w:pPr>
        <w:pStyle w:val="0"/>
        <w:spacing w:before="0" w:beforeLines="0" w:beforeAutospacing="0"/>
        <w:ind w:left="240" w:hanging="240" w:hangingChars="100"/>
        <w:jc w:val="left"/>
        <w:rPr>
          <w:rFonts w:hint="eastAsia"/>
          <w:color w:val="auto"/>
          <w:sz w:val="24"/>
        </w:rPr>
      </w:pPr>
      <w:r>
        <w:rPr>
          <w:rFonts w:hint="eastAsia"/>
          <w:color w:val="auto"/>
          <w:sz w:val="24"/>
        </w:rPr>
        <w:t>５　委員会に委員長及び副委員長をそれぞれ１人置き、委員の互選によりこれを定める。</w:t>
      </w:r>
    </w:p>
    <w:p>
      <w:pPr>
        <w:pStyle w:val="0"/>
        <w:spacing w:before="0" w:beforeLines="0" w:beforeAutospacing="0"/>
        <w:ind w:left="240" w:hanging="240" w:hangingChars="100"/>
        <w:jc w:val="left"/>
        <w:rPr>
          <w:rFonts w:hint="eastAsia"/>
          <w:color w:val="auto"/>
          <w:sz w:val="24"/>
        </w:rPr>
      </w:pPr>
      <w:r>
        <w:rPr>
          <w:rFonts w:hint="eastAsia"/>
          <w:color w:val="auto"/>
          <w:sz w:val="24"/>
        </w:rPr>
        <w:t>（会議）</w:t>
      </w:r>
    </w:p>
    <w:p>
      <w:pPr>
        <w:pStyle w:val="0"/>
        <w:spacing w:before="0" w:beforeLines="0" w:beforeAutospacing="0"/>
        <w:ind w:left="240" w:hanging="240" w:hangingChars="100"/>
        <w:jc w:val="left"/>
        <w:rPr>
          <w:rFonts w:hint="eastAsia"/>
          <w:color w:val="auto"/>
          <w:sz w:val="24"/>
        </w:rPr>
      </w:pPr>
      <w:r>
        <w:rPr>
          <w:rFonts w:hint="eastAsia"/>
          <w:color w:val="auto"/>
          <w:sz w:val="24"/>
        </w:rPr>
        <w:t>第１４条　委員会の会議は、委員長が招集し、その議長となる。</w:t>
      </w:r>
    </w:p>
    <w:p>
      <w:pPr>
        <w:pStyle w:val="0"/>
        <w:spacing w:before="0" w:beforeLines="0" w:beforeAutospacing="0"/>
        <w:ind w:left="240" w:hanging="240" w:hangingChars="100"/>
        <w:jc w:val="left"/>
        <w:rPr>
          <w:rFonts w:hint="eastAsia"/>
          <w:color w:val="auto"/>
          <w:sz w:val="24"/>
        </w:rPr>
      </w:pPr>
      <w:r>
        <w:rPr>
          <w:rFonts w:hint="eastAsia"/>
          <w:color w:val="auto"/>
          <w:sz w:val="24"/>
        </w:rPr>
        <w:t>２　会議は、委員の半数以上が出席しなければ開くことができない。</w:t>
      </w:r>
    </w:p>
    <w:p>
      <w:pPr>
        <w:pStyle w:val="0"/>
        <w:spacing w:before="0" w:beforeLines="0" w:beforeAutospacing="0"/>
        <w:ind w:left="240" w:hanging="240" w:hangingChars="100"/>
        <w:jc w:val="left"/>
        <w:rPr>
          <w:rFonts w:hint="eastAsia"/>
          <w:color w:val="auto"/>
          <w:sz w:val="24"/>
        </w:rPr>
      </w:pPr>
      <w:r>
        <w:rPr>
          <w:rFonts w:hint="eastAsia"/>
          <w:color w:val="auto"/>
          <w:sz w:val="24"/>
        </w:rPr>
        <w:t>３　会議の議事は、出席委員の過半数をもって決し、可否同数のときは、議長の決するところによる。</w:t>
      </w:r>
    </w:p>
    <w:p>
      <w:pPr>
        <w:pStyle w:val="0"/>
        <w:spacing w:before="0" w:beforeLines="0" w:beforeAutospacing="0"/>
        <w:ind w:left="240" w:hanging="240" w:hangingChars="100"/>
        <w:jc w:val="left"/>
        <w:rPr>
          <w:rFonts w:hint="eastAsia"/>
          <w:color w:val="auto"/>
          <w:sz w:val="24"/>
        </w:rPr>
      </w:pPr>
      <w:r>
        <w:rPr>
          <w:rFonts w:hint="eastAsia"/>
          <w:color w:val="auto"/>
          <w:sz w:val="24"/>
        </w:rPr>
        <w:t>４　委員長は、必要があると認めるときは、会議に関係者の出席を求め、意見を聴くことができる。</w:t>
      </w:r>
    </w:p>
    <w:p>
      <w:pPr>
        <w:pStyle w:val="0"/>
        <w:spacing w:before="0" w:beforeLines="0" w:beforeAutospacing="0"/>
        <w:ind w:left="210" w:leftChars="100"/>
        <w:jc w:val="left"/>
        <w:rPr>
          <w:rFonts w:hint="eastAsia"/>
          <w:color w:val="auto"/>
          <w:sz w:val="24"/>
        </w:rPr>
      </w:pPr>
      <w:r>
        <w:rPr>
          <w:rFonts w:hint="eastAsia"/>
          <w:color w:val="auto"/>
          <w:sz w:val="24"/>
        </w:rPr>
        <w:t>（その他）</w:t>
      </w:r>
    </w:p>
    <w:p>
      <w:pPr>
        <w:pStyle w:val="0"/>
        <w:spacing w:before="0" w:beforeLines="0" w:beforeAutospacing="0"/>
        <w:ind w:left="240" w:hanging="240" w:hangingChars="100"/>
        <w:jc w:val="left"/>
        <w:rPr>
          <w:rFonts w:hint="eastAsia"/>
          <w:color w:val="auto"/>
          <w:sz w:val="24"/>
        </w:rPr>
      </w:pPr>
      <w:r>
        <w:rPr>
          <w:rFonts w:hint="eastAsia"/>
          <w:color w:val="auto"/>
          <w:sz w:val="24"/>
        </w:rPr>
        <w:t>第１５条　この要綱に定めるもののほか、センター事業に関し必要な事項は、別に定める。</w:t>
      </w:r>
    </w:p>
    <w:p>
      <w:pPr>
        <w:pStyle w:val="0"/>
        <w:spacing w:before="0" w:beforeLines="0" w:beforeAutospacing="0"/>
        <w:jc w:val="left"/>
        <w:rPr>
          <w:rFonts w:hint="eastAsia"/>
          <w:color w:val="auto"/>
          <w:sz w:val="24"/>
        </w:rPr>
      </w:pPr>
    </w:p>
    <w:p>
      <w:pPr>
        <w:pStyle w:val="0"/>
        <w:spacing w:before="0" w:beforeLines="0" w:beforeAutospacing="0"/>
        <w:ind w:firstLine="888" w:firstLineChars="300"/>
        <w:jc w:val="left"/>
        <w:rPr>
          <w:rFonts w:hint="eastAsia"/>
          <w:color w:val="auto"/>
          <w:sz w:val="24"/>
        </w:rPr>
      </w:pPr>
      <w:r>
        <w:rPr>
          <w:rFonts w:hint="eastAsia"/>
          <w:color w:val="auto"/>
          <w:sz w:val="24"/>
        </w:rPr>
        <w:t>附　則</w:t>
      </w:r>
    </w:p>
    <w:p>
      <w:pPr>
        <w:pStyle w:val="0"/>
        <w:spacing w:before="0" w:beforeLines="0" w:beforeAutospacing="0"/>
        <w:ind w:firstLine="296" w:firstLineChars="100"/>
        <w:jc w:val="left"/>
        <w:rPr>
          <w:rFonts w:hint="eastAsia"/>
          <w:color w:val="auto"/>
          <w:sz w:val="24"/>
        </w:rPr>
      </w:pPr>
      <w:r>
        <w:rPr>
          <w:rFonts w:hint="eastAsia"/>
          <w:color w:val="auto"/>
          <w:sz w:val="24"/>
        </w:rPr>
        <w:t>この要綱は、令和２年４月１日から施行する。</w:t>
      </w:r>
    </w:p>
    <w:p>
      <w:pPr>
        <w:pStyle w:val="0"/>
        <w:spacing w:before="0" w:beforeLines="0" w:beforeAutospacing="0"/>
        <w:jc w:val="left"/>
        <w:rPr>
          <w:rFonts w:hint="eastAsia"/>
          <w:color w:val="auto"/>
          <w:sz w:val="24"/>
        </w:rPr>
      </w:pPr>
    </w:p>
    <w:p>
      <w:pPr>
        <w:pStyle w:val="0"/>
        <w:spacing w:before="0" w:beforeLines="0" w:beforeAutospacing="0"/>
        <w:jc w:val="left"/>
        <w:rPr>
          <w:rFonts w:hint="eastAsia"/>
          <w:color w:val="auto"/>
          <w:sz w:val="24"/>
        </w:rPr>
      </w:pPr>
      <w:r>
        <w:rPr>
          <w:rFonts w:hint="eastAsia"/>
          <w:color w:val="auto"/>
          <w:sz w:val="24"/>
        </w:rPr>
        <w:t>別表</w:t>
      </w:r>
    </w:p>
    <w:tbl>
      <w:tblPr>
        <w:tblStyle w:val="18"/>
        <w:tblW w:w="9138" w:type="dxa"/>
        <w:tblInd w:w="0" w:type="dxa"/>
        <w:tblLayout w:type="fixed"/>
        <w:tblLook w:firstRow="1" w:lastRow="0" w:firstColumn="1" w:lastColumn="0" w:noHBand="0" w:noVBand="1" w:val="04A0"/>
      </w:tblPr>
      <w:tblGrid>
        <w:gridCol w:w="2418"/>
        <w:gridCol w:w="3360"/>
        <w:gridCol w:w="3360"/>
      </w:tblGrid>
      <w:tr>
        <w:trPr/>
        <w:tc>
          <w:tcPr>
            <w:tcW w:w="2418" w:type="dxa"/>
            <w:vAlign w:val="top"/>
          </w:tcPr>
          <w:p>
            <w:pPr>
              <w:pStyle w:val="0"/>
              <w:rPr>
                <w:rFonts w:hint="eastAsia"/>
                <w:color w:val="auto"/>
                <w:sz w:val="24"/>
              </w:rPr>
            </w:pPr>
            <w:r>
              <w:rPr>
                <w:rFonts w:hint="eastAsia"/>
                <w:color w:val="auto"/>
                <w:sz w:val="24"/>
              </w:rPr>
              <w:t>機器</w:t>
            </w:r>
          </w:p>
        </w:tc>
        <w:tc>
          <w:tcPr>
            <w:tcW w:w="3360" w:type="dxa"/>
            <w:vAlign w:val="top"/>
          </w:tcPr>
          <w:p>
            <w:pPr>
              <w:pStyle w:val="0"/>
              <w:rPr>
                <w:rFonts w:hint="eastAsia"/>
                <w:color w:val="auto"/>
                <w:sz w:val="24"/>
              </w:rPr>
            </w:pPr>
            <w:r>
              <w:rPr>
                <w:rFonts w:hint="eastAsia"/>
                <w:color w:val="auto"/>
                <w:sz w:val="24"/>
              </w:rPr>
              <w:t>方法</w:t>
            </w:r>
          </w:p>
        </w:tc>
        <w:tc>
          <w:tcPr>
            <w:tcW w:w="3360" w:type="dxa"/>
            <w:vAlign w:val="top"/>
          </w:tcPr>
          <w:p>
            <w:pPr>
              <w:pStyle w:val="0"/>
              <w:rPr>
                <w:rFonts w:hint="eastAsia"/>
                <w:color w:val="auto"/>
                <w:sz w:val="24"/>
              </w:rPr>
            </w:pPr>
            <w:r>
              <w:rPr>
                <w:rFonts w:hint="eastAsia"/>
                <w:color w:val="auto"/>
                <w:sz w:val="24"/>
              </w:rPr>
              <w:t>金額</w:t>
            </w:r>
          </w:p>
        </w:tc>
      </w:tr>
      <w:tr>
        <w:trPr>
          <w:trHeight w:val="510" w:hRule="atLeast"/>
        </w:trPr>
        <w:tc>
          <w:tcPr>
            <w:tcW w:w="2418" w:type="dxa"/>
            <w:vMerge w:val="restart"/>
            <w:vAlign w:val="top"/>
          </w:tcPr>
          <w:p>
            <w:pPr>
              <w:pStyle w:val="0"/>
              <w:rPr>
                <w:rFonts w:hint="eastAsia"/>
                <w:color w:val="auto"/>
                <w:sz w:val="24"/>
              </w:rPr>
            </w:pPr>
            <w:r>
              <w:rPr>
                <w:rFonts w:hint="eastAsia"/>
                <w:color w:val="auto"/>
                <w:sz w:val="24"/>
              </w:rPr>
              <w:t>コピー機</w:t>
            </w:r>
          </w:p>
          <w:p>
            <w:pPr>
              <w:pStyle w:val="0"/>
              <w:rPr>
                <w:rFonts w:hint="eastAsia"/>
                <w:color w:val="auto"/>
                <w:sz w:val="24"/>
              </w:rPr>
            </w:pPr>
            <w:r>
              <w:rPr>
                <w:rFonts w:hint="eastAsia"/>
                <w:color w:val="auto"/>
                <w:sz w:val="24"/>
              </w:rPr>
              <w:t>（用紙代含む）</w:t>
            </w:r>
          </w:p>
        </w:tc>
        <w:tc>
          <w:tcPr>
            <w:tcW w:w="3360" w:type="dxa"/>
            <w:vMerge w:val="restart"/>
            <w:vAlign w:val="center"/>
          </w:tcPr>
          <w:p>
            <w:pPr>
              <w:pStyle w:val="0"/>
              <w:jc w:val="both"/>
              <w:rPr>
                <w:rFonts w:hint="eastAsia"/>
                <w:color w:val="auto"/>
                <w:sz w:val="24"/>
              </w:rPr>
            </w:pPr>
            <w:r>
              <w:rPr>
                <w:rFonts w:hint="eastAsia"/>
                <w:color w:val="auto"/>
                <w:sz w:val="24"/>
              </w:rPr>
              <w:t>白黒及び２色</w:t>
            </w:r>
          </w:p>
        </w:tc>
        <w:tc>
          <w:tcPr>
            <w:tcW w:w="3360" w:type="dxa"/>
            <w:vAlign w:val="center"/>
          </w:tcPr>
          <w:p>
            <w:pPr>
              <w:pStyle w:val="0"/>
              <w:jc w:val="both"/>
              <w:rPr>
                <w:rFonts w:hint="eastAsia"/>
                <w:color w:val="auto"/>
                <w:sz w:val="24"/>
              </w:rPr>
            </w:pPr>
            <w:r>
              <w:rPr>
                <w:rFonts w:hint="eastAsia"/>
                <w:color w:val="auto"/>
                <w:sz w:val="24"/>
              </w:rPr>
              <w:t>１０円／枚（片面）</w:t>
            </w:r>
          </w:p>
        </w:tc>
      </w:tr>
      <w:tr>
        <w:trPr>
          <w:trHeight w:val="510" w:hRule="atLeast"/>
        </w:trPr>
        <w:tc>
          <w:tcPr>
            <w:tcW w:w="2418" w:type="dxa"/>
            <w:vMerge w:val="continue"/>
            <w:vAlign w:val="top"/>
          </w:tcPr>
          <w:p>
            <w:pPr>
              <w:pStyle w:val="0"/>
              <w:rPr>
                <w:rFonts w:hint="eastAsia"/>
              </w:rPr>
            </w:pPr>
          </w:p>
        </w:tc>
        <w:tc>
          <w:tcPr>
            <w:tcW w:w="3360" w:type="dxa"/>
            <w:vMerge w:val="restart"/>
            <w:vAlign w:val="center"/>
          </w:tcPr>
          <w:p>
            <w:pPr>
              <w:pStyle w:val="0"/>
              <w:jc w:val="both"/>
              <w:rPr>
                <w:rFonts w:hint="eastAsia"/>
                <w:color w:val="auto"/>
                <w:sz w:val="24"/>
              </w:rPr>
            </w:pPr>
            <w:r>
              <w:rPr>
                <w:rFonts w:hint="eastAsia"/>
                <w:color w:val="auto"/>
                <w:sz w:val="24"/>
              </w:rPr>
              <w:t>カラー</w:t>
            </w:r>
          </w:p>
        </w:tc>
        <w:tc>
          <w:tcPr>
            <w:tcW w:w="3360" w:type="dxa"/>
            <w:vAlign w:val="center"/>
          </w:tcPr>
          <w:p>
            <w:pPr>
              <w:pStyle w:val="0"/>
              <w:jc w:val="both"/>
              <w:rPr>
                <w:rFonts w:hint="eastAsia"/>
                <w:color w:val="auto"/>
                <w:sz w:val="24"/>
              </w:rPr>
            </w:pPr>
            <w:r>
              <w:rPr>
                <w:rFonts w:hint="eastAsia"/>
                <w:color w:val="auto"/>
                <w:sz w:val="24"/>
              </w:rPr>
              <w:t>５０円／枚（片面）</w:t>
            </w:r>
          </w:p>
        </w:tc>
      </w:tr>
      <w:tr>
        <w:trPr>
          <w:trHeight w:val="720" w:hRule="atLeast"/>
        </w:trPr>
        <w:tc>
          <w:tcPr>
            <w:tcW w:w="2418" w:type="dxa"/>
            <w:vMerge w:val="restart"/>
            <w:vAlign w:val="top"/>
          </w:tcPr>
          <w:p>
            <w:pPr>
              <w:pStyle w:val="0"/>
              <w:rPr>
                <w:rFonts w:hint="eastAsia"/>
                <w:color w:val="auto"/>
                <w:sz w:val="24"/>
              </w:rPr>
            </w:pPr>
            <w:r>
              <w:rPr>
                <w:rFonts w:hint="eastAsia"/>
                <w:color w:val="auto"/>
                <w:sz w:val="24"/>
              </w:rPr>
              <w:t>印刷機</w:t>
            </w:r>
          </w:p>
          <w:p>
            <w:pPr>
              <w:pStyle w:val="0"/>
              <w:rPr>
                <w:rFonts w:hint="eastAsia"/>
                <w:color w:val="auto"/>
                <w:sz w:val="24"/>
              </w:rPr>
            </w:pPr>
            <w:r>
              <w:rPr>
                <w:rFonts w:hint="eastAsia"/>
                <w:color w:val="auto"/>
                <w:sz w:val="24"/>
              </w:rPr>
              <w:t>（用紙は持込）</w:t>
            </w:r>
          </w:p>
        </w:tc>
        <w:tc>
          <w:tcPr>
            <w:tcW w:w="3360" w:type="dxa"/>
            <w:vAlign w:val="top"/>
          </w:tcPr>
          <w:p>
            <w:pPr>
              <w:pStyle w:val="0"/>
              <w:rPr>
                <w:rFonts w:hint="eastAsia"/>
                <w:color w:val="auto"/>
                <w:sz w:val="24"/>
              </w:rPr>
            </w:pPr>
            <w:r>
              <w:rPr>
                <w:rFonts w:hint="eastAsia"/>
                <w:color w:val="auto"/>
                <w:sz w:val="24"/>
              </w:rPr>
              <w:t>１００枚までの印刷</w:t>
            </w:r>
          </w:p>
        </w:tc>
        <w:tc>
          <w:tcPr>
            <w:tcW w:w="3360" w:type="dxa"/>
            <w:vAlign w:val="top"/>
          </w:tcPr>
          <w:p>
            <w:pPr>
              <w:pStyle w:val="0"/>
              <w:rPr>
                <w:rFonts w:hint="eastAsia"/>
                <w:color w:val="auto"/>
                <w:sz w:val="24"/>
              </w:rPr>
            </w:pPr>
            <w:r>
              <w:rPr>
                <w:rFonts w:hint="eastAsia"/>
                <w:color w:val="auto"/>
                <w:sz w:val="24"/>
              </w:rPr>
              <w:t>１製版につき　５．０円／枚</w:t>
            </w:r>
          </w:p>
        </w:tc>
      </w:tr>
      <w:tr>
        <w:trPr/>
        <w:tc>
          <w:tcPr>
            <w:tcW w:w="2418" w:type="dxa"/>
            <w:vMerge w:val="continue"/>
            <w:vAlign w:val="top"/>
          </w:tcPr>
          <w:p>
            <w:pPr>
              <w:pStyle w:val="0"/>
              <w:rPr>
                <w:rFonts w:hint="eastAsia"/>
              </w:rPr>
            </w:pPr>
          </w:p>
        </w:tc>
        <w:tc>
          <w:tcPr>
            <w:tcW w:w="3360" w:type="dxa"/>
            <w:vAlign w:val="top"/>
          </w:tcPr>
          <w:p>
            <w:pPr>
              <w:pStyle w:val="0"/>
              <w:rPr>
                <w:rFonts w:hint="eastAsia"/>
                <w:color w:val="auto"/>
                <w:sz w:val="24"/>
              </w:rPr>
            </w:pPr>
            <w:r>
              <w:rPr>
                <w:rFonts w:hint="eastAsia"/>
                <w:color w:val="auto"/>
                <w:sz w:val="24"/>
              </w:rPr>
              <w:t>５００枚までの印刷</w:t>
            </w:r>
          </w:p>
        </w:tc>
        <w:tc>
          <w:tcPr>
            <w:tcW w:w="3360" w:type="dxa"/>
            <w:vAlign w:val="top"/>
          </w:tcPr>
          <w:p>
            <w:pPr>
              <w:pStyle w:val="0"/>
              <w:rPr>
                <w:rFonts w:hint="eastAsia"/>
                <w:color w:val="auto"/>
                <w:sz w:val="24"/>
              </w:rPr>
            </w:pPr>
            <w:r>
              <w:rPr>
                <w:rFonts w:hint="eastAsia"/>
                <w:color w:val="auto"/>
                <w:sz w:val="24"/>
              </w:rPr>
              <w:t>１製版につき　１．５円／枚</w:t>
            </w:r>
          </w:p>
        </w:tc>
      </w:tr>
      <w:tr>
        <w:trPr/>
        <w:tc>
          <w:tcPr>
            <w:tcW w:w="2418" w:type="dxa"/>
            <w:vMerge w:val="continue"/>
            <w:vAlign w:val="top"/>
          </w:tcPr>
          <w:p>
            <w:pPr>
              <w:pStyle w:val="0"/>
              <w:rPr>
                <w:rFonts w:hint="eastAsia"/>
              </w:rPr>
            </w:pPr>
          </w:p>
        </w:tc>
        <w:tc>
          <w:tcPr>
            <w:tcW w:w="3360" w:type="dxa"/>
            <w:vAlign w:val="top"/>
          </w:tcPr>
          <w:p>
            <w:pPr>
              <w:pStyle w:val="0"/>
              <w:rPr>
                <w:rFonts w:hint="eastAsia"/>
                <w:color w:val="auto"/>
                <w:sz w:val="24"/>
              </w:rPr>
            </w:pPr>
            <w:r>
              <w:rPr>
                <w:rFonts w:hint="eastAsia"/>
                <w:color w:val="auto"/>
                <w:sz w:val="24"/>
              </w:rPr>
              <w:t>１，０００枚までの印刷</w:t>
            </w:r>
          </w:p>
        </w:tc>
        <w:tc>
          <w:tcPr>
            <w:tcW w:w="3360" w:type="dxa"/>
            <w:vAlign w:val="top"/>
          </w:tcPr>
          <w:p>
            <w:pPr>
              <w:pStyle w:val="0"/>
              <w:rPr>
                <w:rFonts w:hint="eastAsia"/>
                <w:color w:val="auto"/>
                <w:sz w:val="24"/>
              </w:rPr>
            </w:pPr>
            <w:r>
              <w:rPr>
                <w:rFonts w:hint="eastAsia"/>
                <w:color w:val="auto"/>
                <w:sz w:val="24"/>
              </w:rPr>
              <w:t>１製版につき　１．０円／枚</w:t>
            </w:r>
          </w:p>
        </w:tc>
      </w:tr>
      <w:tr>
        <w:trPr/>
        <w:tc>
          <w:tcPr>
            <w:tcW w:w="2418" w:type="dxa"/>
            <w:vMerge w:val="continue"/>
            <w:vAlign w:val="top"/>
          </w:tcPr>
          <w:p>
            <w:pPr>
              <w:pStyle w:val="0"/>
              <w:rPr>
                <w:rFonts w:hint="eastAsia"/>
              </w:rPr>
            </w:pPr>
          </w:p>
        </w:tc>
        <w:tc>
          <w:tcPr>
            <w:tcW w:w="3360" w:type="dxa"/>
            <w:vAlign w:val="top"/>
          </w:tcPr>
          <w:p>
            <w:pPr>
              <w:pStyle w:val="0"/>
              <w:rPr>
                <w:rFonts w:hint="eastAsia"/>
                <w:color w:val="auto"/>
                <w:sz w:val="24"/>
              </w:rPr>
            </w:pPr>
            <w:r>
              <w:rPr>
                <w:rFonts w:hint="eastAsia"/>
                <w:color w:val="auto"/>
                <w:sz w:val="24"/>
              </w:rPr>
              <w:t>１，０００枚超えての印刷</w:t>
            </w:r>
          </w:p>
        </w:tc>
        <w:tc>
          <w:tcPr>
            <w:tcW w:w="3360" w:type="dxa"/>
            <w:vAlign w:val="top"/>
          </w:tcPr>
          <w:p>
            <w:pPr>
              <w:pStyle w:val="0"/>
              <w:rPr>
                <w:rFonts w:hint="eastAsia"/>
                <w:color w:val="auto"/>
                <w:sz w:val="24"/>
              </w:rPr>
            </w:pPr>
            <w:r>
              <w:rPr>
                <w:rFonts w:hint="eastAsia"/>
                <w:color w:val="auto"/>
                <w:sz w:val="24"/>
              </w:rPr>
              <w:t>１製版につき　０．７円／枚</w:t>
            </w:r>
          </w:p>
        </w:tc>
      </w:tr>
    </w:tbl>
    <w:p>
      <w:pPr>
        <w:pStyle w:val="0"/>
        <w:rPr>
          <w:rFonts w:hint="eastAsia"/>
          <w:color w:val="auto"/>
          <w:sz w:val="24"/>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360" w:charSpace="114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8EDB33A"/>
    <w:lvl w:ilvl="0" w:tplc="00000000">
      <w:start w:val="1"/>
      <w:numFmt w:val="decimalFullWidth"/>
      <w:lvlText w:val="（%1）"/>
      <w:lvlJc w:val="left"/>
      <w:pPr>
        <w:ind w:left="1183" w:hanging="945"/>
      </w:pPr>
    </w:lvl>
    <w:lvl w:ilvl="1" w:tplc="00000000">
      <w:start w:val="1"/>
      <w:numFmt w:val="aiueoFullWidth"/>
      <w:lvlText w:val="(%2)"/>
      <w:lvlJc w:val="left"/>
      <w:pPr>
        <w:ind w:left="1078" w:hanging="420"/>
      </w:pPr>
    </w:lvl>
    <w:lvl w:ilvl="2" w:tplc="00000000">
      <w:start w:val="1"/>
      <w:numFmt w:val="decimalEnclosedCircle"/>
      <w:lvlText w:val="%3"/>
      <w:lvlJc w:val="left"/>
      <w:pPr>
        <w:ind w:left="1498" w:hanging="420"/>
      </w:pPr>
    </w:lvl>
    <w:lvl w:ilvl="3" w:tplc="00000000">
      <w:start w:val="1"/>
      <w:numFmt w:val="decimal"/>
      <w:lvlText w:val="%4."/>
      <w:lvlJc w:val="left"/>
      <w:pPr>
        <w:ind w:left="1918" w:hanging="420"/>
      </w:pPr>
    </w:lvl>
    <w:lvl w:ilvl="4" w:tplc="00000000">
      <w:start w:val="1"/>
      <w:numFmt w:val="aiueoFullWidth"/>
      <w:lvlText w:val="(%5)"/>
      <w:lvlJc w:val="left"/>
      <w:pPr>
        <w:ind w:left="2338" w:hanging="420"/>
      </w:pPr>
    </w:lvl>
    <w:lvl w:ilvl="5" w:tplc="00000000">
      <w:start w:val="1"/>
      <w:numFmt w:val="decimalEnclosedCircle"/>
      <w:lvlText w:val="%6"/>
      <w:lvlJc w:val="left"/>
      <w:pPr>
        <w:ind w:left="2758" w:hanging="420"/>
      </w:pPr>
    </w:lvl>
    <w:lvl w:ilvl="6" w:tplc="00000000">
      <w:start w:val="1"/>
      <w:numFmt w:val="decimal"/>
      <w:lvlText w:val="%7."/>
      <w:lvlJc w:val="left"/>
      <w:pPr>
        <w:ind w:left="3178" w:hanging="420"/>
      </w:pPr>
    </w:lvl>
    <w:lvl w:ilvl="7" w:tplc="00000000">
      <w:start w:val="1"/>
      <w:numFmt w:val="aiueoFullWidth"/>
      <w:lvlText w:val="(%8)"/>
      <w:lvlJc w:val="left"/>
      <w:pPr>
        <w:ind w:left="3598" w:hanging="420"/>
      </w:pPr>
    </w:lvl>
    <w:lvl w:ilvl="8" w:tplc="00000000">
      <w:start w:val="1"/>
      <w:numFmt w:val="decimalEnclosedCircle"/>
      <w:lvlText w:val="%9"/>
      <w:lvlJc w:val="left"/>
      <w:pPr>
        <w:ind w:left="4018" w:hanging="420"/>
      </w:pPr>
    </w:lvl>
  </w:abstractNum>
  <w:abstractNum w:abstractNumId="1">
    <w:nsid w:val="00000002"/>
    <w:multiLevelType w:val="hybridMultilevel"/>
    <w:tmpl w:val="76FA3CAC"/>
    <w:lvl w:ilvl="0" w:tplc="00000000">
      <w:start w:val="1"/>
      <w:numFmt w:val="decimalFullWidth"/>
      <w:lvlText w:val="（%1）"/>
      <w:lvlJc w:val="left"/>
      <w:pPr>
        <w:ind w:left="1183" w:hanging="945"/>
      </w:pPr>
    </w:lvl>
    <w:lvl w:ilvl="1" w:tplc="00000000">
      <w:start w:val="1"/>
      <w:numFmt w:val="aiueoFullWidth"/>
      <w:lvlText w:val="(%2)"/>
      <w:lvlJc w:val="left"/>
      <w:pPr>
        <w:ind w:left="1078" w:hanging="420"/>
      </w:pPr>
    </w:lvl>
    <w:lvl w:ilvl="2" w:tplc="00000000">
      <w:start w:val="1"/>
      <w:numFmt w:val="decimalEnclosedCircle"/>
      <w:lvlText w:val="%3"/>
      <w:lvlJc w:val="left"/>
      <w:pPr>
        <w:ind w:left="1498" w:hanging="420"/>
      </w:pPr>
    </w:lvl>
    <w:lvl w:ilvl="3" w:tplc="00000000">
      <w:start w:val="1"/>
      <w:numFmt w:val="decimal"/>
      <w:lvlText w:val="%4."/>
      <w:lvlJc w:val="left"/>
      <w:pPr>
        <w:ind w:left="1918" w:hanging="420"/>
      </w:pPr>
    </w:lvl>
    <w:lvl w:ilvl="4" w:tplc="00000000">
      <w:start w:val="1"/>
      <w:numFmt w:val="aiueoFullWidth"/>
      <w:lvlText w:val="(%5)"/>
      <w:lvlJc w:val="left"/>
      <w:pPr>
        <w:ind w:left="2338" w:hanging="420"/>
      </w:pPr>
    </w:lvl>
    <w:lvl w:ilvl="5" w:tplc="00000000">
      <w:start w:val="1"/>
      <w:numFmt w:val="decimalEnclosedCircle"/>
      <w:lvlText w:val="%6"/>
      <w:lvlJc w:val="left"/>
      <w:pPr>
        <w:ind w:left="2758" w:hanging="420"/>
      </w:pPr>
    </w:lvl>
    <w:lvl w:ilvl="6" w:tplc="00000000">
      <w:start w:val="1"/>
      <w:numFmt w:val="decimal"/>
      <w:lvlText w:val="%7."/>
      <w:lvlJc w:val="left"/>
      <w:pPr>
        <w:ind w:left="3178" w:hanging="420"/>
      </w:pPr>
    </w:lvl>
    <w:lvl w:ilvl="7" w:tplc="00000000">
      <w:start w:val="1"/>
      <w:numFmt w:val="aiueoFullWidth"/>
      <w:lvlText w:val="(%8)"/>
      <w:lvlJc w:val="left"/>
      <w:pPr>
        <w:ind w:left="3598" w:hanging="420"/>
      </w:pPr>
    </w:lvl>
    <w:lvl w:ilvl="8" w:tplc="00000000">
      <w:start w:val="1"/>
      <w:numFmt w:val="decimalEnclosedCircle"/>
      <w:lvlText w:val="%9"/>
      <w:lvlJc w:val="left"/>
      <w:pPr>
        <w:ind w:left="4018" w:hanging="420"/>
      </w:pPr>
    </w:lvl>
  </w:abstractNum>
  <w:abstractNum w:abstractNumId="2">
    <w:nsid w:val="00000003"/>
    <w:multiLevelType w:val="hybridMultilevel"/>
    <w:tmpl w:val="3DD0DEFC"/>
    <w:lvl w:ilvl="0" w:tplc="00000000">
      <w:start w:val="1"/>
      <w:numFmt w:val="decimalFullWidth"/>
      <w:lvlText w:val="（%1）"/>
      <w:lvlJc w:val="left"/>
      <w:pPr>
        <w:ind w:left="1183" w:hanging="945"/>
      </w:pPr>
    </w:lvl>
    <w:lvl w:ilvl="1" w:tplc="00000000">
      <w:start w:val="1"/>
      <w:numFmt w:val="aiueoFullWidth"/>
      <w:lvlText w:val="(%2)"/>
      <w:lvlJc w:val="left"/>
      <w:pPr>
        <w:ind w:left="1078" w:hanging="420"/>
      </w:pPr>
    </w:lvl>
    <w:lvl w:ilvl="2" w:tplc="00000000">
      <w:start w:val="1"/>
      <w:numFmt w:val="decimalEnclosedCircle"/>
      <w:lvlText w:val="%3"/>
      <w:lvlJc w:val="left"/>
      <w:pPr>
        <w:ind w:left="1498" w:hanging="420"/>
      </w:pPr>
    </w:lvl>
    <w:lvl w:ilvl="3" w:tplc="00000000">
      <w:start w:val="1"/>
      <w:numFmt w:val="decimal"/>
      <w:lvlText w:val="%4."/>
      <w:lvlJc w:val="left"/>
      <w:pPr>
        <w:ind w:left="1918" w:hanging="420"/>
      </w:pPr>
    </w:lvl>
    <w:lvl w:ilvl="4" w:tplc="00000000">
      <w:start w:val="1"/>
      <w:numFmt w:val="aiueoFullWidth"/>
      <w:lvlText w:val="(%5)"/>
      <w:lvlJc w:val="left"/>
      <w:pPr>
        <w:ind w:left="2338" w:hanging="420"/>
      </w:pPr>
    </w:lvl>
    <w:lvl w:ilvl="5" w:tplc="00000000">
      <w:start w:val="1"/>
      <w:numFmt w:val="decimalEnclosedCircle"/>
      <w:lvlText w:val="%6"/>
      <w:lvlJc w:val="left"/>
      <w:pPr>
        <w:ind w:left="2758" w:hanging="420"/>
      </w:pPr>
    </w:lvl>
    <w:lvl w:ilvl="6" w:tplc="00000000">
      <w:start w:val="1"/>
      <w:numFmt w:val="decimal"/>
      <w:lvlText w:val="%7."/>
      <w:lvlJc w:val="left"/>
      <w:pPr>
        <w:ind w:left="3178" w:hanging="420"/>
      </w:pPr>
    </w:lvl>
    <w:lvl w:ilvl="7" w:tplc="00000000">
      <w:start w:val="1"/>
      <w:numFmt w:val="aiueoFullWidth"/>
      <w:lvlText w:val="(%8)"/>
      <w:lvlJc w:val="left"/>
      <w:pPr>
        <w:ind w:left="3598" w:hanging="420"/>
      </w:pPr>
    </w:lvl>
    <w:lvl w:ilvl="8" w:tplc="00000000">
      <w:start w:val="1"/>
      <w:numFmt w:val="decimalEnclosedCircle"/>
      <w:lvlText w:val="%9"/>
      <w:lvlJc w:val="left"/>
      <w:pPr>
        <w:ind w:left="4018" w:hanging="420"/>
      </w:pPr>
    </w:lvl>
  </w:abstractNum>
  <w:abstractNum w:abstractNumId="3">
    <w:nsid w:val="00000004"/>
    <w:multiLevelType w:val="hybridMultilevel"/>
    <w:tmpl w:val="183C8FA6"/>
    <w:lvl w:ilvl="0" w:tplc="00000000">
      <w:start w:val="1"/>
      <w:numFmt w:val="decimalFullWidth"/>
      <w:lvlText w:val="（%1）"/>
      <w:lvlJc w:val="left"/>
      <w:pPr>
        <w:ind w:left="1183" w:hanging="945"/>
      </w:pPr>
    </w:lvl>
    <w:lvl w:ilvl="1" w:tplc="00000000">
      <w:start w:val="1"/>
      <w:numFmt w:val="aiueoFullWidth"/>
      <w:lvlText w:val="(%2)"/>
      <w:lvlJc w:val="left"/>
      <w:pPr>
        <w:ind w:left="1078" w:hanging="420"/>
      </w:pPr>
    </w:lvl>
    <w:lvl w:ilvl="2" w:tplc="00000000">
      <w:start w:val="1"/>
      <w:numFmt w:val="decimalEnclosedCircle"/>
      <w:lvlText w:val="%3"/>
      <w:lvlJc w:val="left"/>
      <w:pPr>
        <w:ind w:left="1498" w:hanging="420"/>
      </w:pPr>
    </w:lvl>
    <w:lvl w:ilvl="3" w:tplc="00000000">
      <w:start w:val="1"/>
      <w:numFmt w:val="decimal"/>
      <w:lvlText w:val="%4."/>
      <w:lvlJc w:val="left"/>
      <w:pPr>
        <w:ind w:left="1918" w:hanging="420"/>
      </w:pPr>
    </w:lvl>
    <w:lvl w:ilvl="4" w:tplc="00000000">
      <w:start w:val="1"/>
      <w:numFmt w:val="aiueoFullWidth"/>
      <w:lvlText w:val="(%5)"/>
      <w:lvlJc w:val="left"/>
      <w:pPr>
        <w:ind w:left="2338" w:hanging="420"/>
      </w:pPr>
    </w:lvl>
    <w:lvl w:ilvl="5" w:tplc="00000000">
      <w:start w:val="1"/>
      <w:numFmt w:val="decimalEnclosedCircle"/>
      <w:lvlText w:val="%6"/>
      <w:lvlJc w:val="left"/>
      <w:pPr>
        <w:ind w:left="2758" w:hanging="420"/>
      </w:pPr>
    </w:lvl>
    <w:lvl w:ilvl="6" w:tplc="00000000">
      <w:start w:val="1"/>
      <w:numFmt w:val="decimal"/>
      <w:lvlText w:val="%7."/>
      <w:lvlJc w:val="left"/>
      <w:pPr>
        <w:ind w:left="3178" w:hanging="420"/>
      </w:pPr>
    </w:lvl>
    <w:lvl w:ilvl="7" w:tplc="00000000">
      <w:start w:val="1"/>
      <w:numFmt w:val="aiueoFullWidth"/>
      <w:lvlText w:val="(%8)"/>
      <w:lvlJc w:val="left"/>
      <w:pPr>
        <w:ind w:left="3598" w:hanging="420"/>
      </w:pPr>
    </w:lvl>
    <w:lvl w:ilvl="8" w:tplc="00000000">
      <w:start w:val="1"/>
      <w:numFmt w:val="decimalEnclosedCircle"/>
      <w:lvlText w:val="%9"/>
      <w:lvlJc w:val="left"/>
      <w:pPr>
        <w:ind w:left="4018" w:hanging="420"/>
      </w:pPr>
    </w:lvl>
  </w:abstractNum>
  <w:abstractNum w:abstractNumId="4">
    <w:nsid w:val="00000005"/>
    <w:multiLevelType w:val="hybridMultilevel"/>
    <w:tmpl w:val="DCEFA08A"/>
    <w:lvl w:ilvl="0" w:tplc="00000000">
      <w:start w:val="1"/>
      <w:numFmt w:val="decimalFullWidth"/>
      <w:lvlText w:val="（%1）"/>
      <w:lvlJc w:val="left"/>
      <w:pPr>
        <w:ind w:left="1183" w:hanging="945"/>
      </w:pPr>
    </w:lvl>
    <w:lvl w:ilvl="1" w:tplc="00000000">
      <w:start w:val="1"/>
      <w:numFmt w:val="aiueoFullWidth"/>
      <w:lvlText w:val="(%2)"/>
      <w:lvlJc w:val="left"/>
      <w:pPr>
        <w:ind w:left="1078" w:hanging="420"/>
      </w:pPr>
    </w:lvl>
    <w:lvl w:ilvl="2" w:tplc="00000000">
      <w:start w:val="1"/>
      <w:numFmt w:val="decimalEnclosedCircle"/>
      <w:lvlText w:val="%3"/>
      <w:lvlJc w:val="left"/>
      <w:pPr>
        <w:ind w:left="1498" w:hanging="420"/>
      </w:pPr>
    </w:lvl>
    <w:lvl w:ilvl="3" w:tplc="00000000">
      <w:start w:val="1"/>
      <w:numFmt w:val="decimal"/>
      <w:lvlText w:val="%4."/>
      <w:lvlJc w:val="left"/>
      <w:pPr>
        <w:ind w:left="1918" w:hanging="420"/>
      </w:pPr>
    </w:lvl>
    <w:lvl w:ilvl="4" w:tplc="00000000">
      <w:start w:val="1"/>
      <w:numFmt w:val="aiueoFullWidth"/>
      <w:lvlText w:val="(%5)"/>
      <w:lvlJc w:val="left"/>
      <w:pPr>
        <w:ind w:left="2338" w:hanging="420"/>
      </w:pPr>
    </w:lvl>
    <w:lvl w:ilvl="5" w:tplc="00000000">
      <w:start w:val="1"/>
      <w:numFmt w:val="decimalEnclosedCircle"/>
      <w:lvlText w:val="%6"/>
      <w:lvlJc w:val="left"/>
      <w:pPr>
        <w:ind w:left="2758" w:hanging="420"/>
      </w:pPr>
    </w:lvl>
    <w:lvl w:ilvl="6" w:tplc="00000000">
      <w:start w:val="1"/>
      <w:numFmt w:val="decimal"/>
      <w:lvlText w:val="%7."/>
      <w:lvlJc w:val="left"/>
      <w:pPr>
        <w:ind w:left="3178" w:hanging="420"/>
      </w:pPr>
    </w:lvl>
    <w:lvl w:ilvl="7" w:tplc="00000000">
      <w:start w:val="1"/>
      <w:numFmt w:val="aiueoFullWidth"/>
      <w:lvlText w:val="(%8)"/>
      <w:lvlJc w:val="left"/>
      <w:pPr>
        <w:ind w:left="3598" w:hanging="420"/>
      </w:pPr>
    </w:lvl>
    <w:lvl w:ilvl="8" w:tplc="00000000">
      <w:start w:val="1"/>
      <w:numFmt w:val="decimalEnclosedCircle"/>
      <w:lvlText w:val="%9"/>
      <w:lvlJc w:val="left"/>
      <w:pPr>
        <w:ind w:left="4018" w:hanging="420"/>
      </w:pPr>
    </w:lvl>
  </w:abstractNum>
  <w:abstractNum w:abstractNumId="5">
    <w:nsid w:val="00000006"/>
    <w:multiLevelType w:val="hybridMultilevel"/>
    <w:tmpl w:val="03F367FA"/>
    <w:lvl w:ilvl="0" w:tplc="00000000">
      <w:start w:val="1"/>
      <w:numFmt w:val="decimalFullWidth"/>
      <w:lvlText w:val="（%1）"/>
      <w:lvlJc w:val="left"/>
      <w:pPr>
        <w:ind w:left="1183" w:hanging="945"/>
      </w:pPr>
    </w:lvl>
    <w:lvl w:ilvl="1" w:tplc="00000000">
      <w:start w:val="1"/>
      <w:numFmt w:val="aiueoFullWidth"/>
      <w:lvlText w:val="(%2)"/>
      <w:lvlJc w:val="left"/>
      <w:pPr>
        <w:ind w:left="1078" w:hanging="420"/>
      </w:pPr>
    </w:lvl>
    <w:lvl w:ilvl="2" w:tplc="00000000">
      <w:start w:val="1"/>
      <w:numFmt w:val="decimalEnclosedCircle"/>
      <w:lvlText w:val="%3"/>
      <w:lvlJc w:val="left"/>
      <w:pPr>
        <w:ind w:left="1498" w:hanging="420"/>
      </w:pPr>
    </w:lvl>
    <w:lvl w:ilvl="3" w:tplc="00000000">
      <w:start w:val="1"/>
      <w:numFmt w:val="decimal"/>
      <w:lvlText w:val="%4."/>
      <w:lvlJc w:val="left"/>
      <w:pPr>
        <w:ind w:left="1918" w:hanging="420"/>
      </w:pPr>
    </w:lvl>
    <w:lvl w:ilvl="4" w:tplc="00000000">
      <w:start w:val="1"/>
      <w:numFmt w:val="aiueoFullWidth"/>
      <w:lvlText w:val="(%5)"/>
      <w:lvlJc w:val="left"/>
      <w:pPr>
        <w:ind w:left="2338" w:hanging="420"/>
      </w:pPr>
    </w:lvl>
    <w:lvl w:ilvl="5" w:tplc="00000000">
      <w:start w:val="1"/>
      <w:numFmt w:val="decimalEnclosedCircle"/>
      <w:lvlText w:val="%6"/>
      <w:lvlJc w:val="left"/>
      <w:pPr>
        <w:ind w:left="2758" w:hanging="420"/>
      </w:pPr>
    </w:lvl>
    <w:lvl w:ilvl="6" w:tplc="00000000">
      <w:start w:val="1"/>
      <w:numFmt w:val="decimal"/>
      <w:lvlText w:val="%7."/>
      <w:lvlJc w:val="left"/>
      <w:pPr>
        <w:ind w:left="3178" w:hanging="420"/>
      </w:pPr>
    </w:lvl>
    <w:lvl w:ilvl="7" w:tplc="00000000">
      <w:start w:val="1"/>
      <w:numFmt w:val="aiueoFullWidth"/>
      <w:lvlText w:val="(%8)"/>
      <w:lvlJc w:val="left"/>
      <w:pPr>
        <w:ind w:left="3598" w:hanging="420"/>
      </w:pPr>
    </w:lvl>
    <w:lvl w:ilvl="8" w:tplc="00000000">
      <w:start w:val="1"/>
      <w:numFmt w:val="decimalEnclosedCircle"/>
      <w:lvlText w:val="%9"/>
      <w:lvlJc w:val="left"/>
      <w:pPr>
        <w:ind w:left="4018" w:hanging="420"/>
      </w:pPr>
    </w:lvl>
  </w:abstractNum>
  <w:abstractNum w:abstractNumId="6">
    <w:nsid w:val="00000007"/>
    <w:multiLevelType w:val="hybridMultilevel"/>
    <w:tmpl w:val="8D636140"/>
    <w:lvl w:ilvl="0" w:tplc="00000000">
      <w:start w:val="1"/>
      <w:numFmt w:val="decimalFullWidth"/>
      <w:lvlText w:val="（%1）"/>
      <w:lvlJc w:val="left"/>
      <w:pPr>
        <w:ind w:left="1183" w:hanging="945"/>
      </w:pPr>
    </w:lvl>
    <w:lvl w:ilvl="1" w:tplc="00000000">
      <w:start w:val="1"/>
      <w:numFmt w:val="aiueoFullWidth"/>
      <w:lvlText w:val="(%2)"/>
      <w:lvlJc w:val="left"/>
      <w:pPr>
        <w:ind w:left="1078" w:hanging="420"/>
      </w:pPr>
    </w:lvl>
    <w:lvl w:ilvl="2" w:tplc="00000000">
      <w:start w:val="1"/>
      <w:numFmt w:val="decimalEnclosedCircle"/>
      <w:lvlText w:val="%3"/>
      <w:lvlJc w:val="left"/>
      <w:pPr>
        <w:ind w:left="1498" w:hanging="420"/>
      </w:pPr>
    </w:lvl>
    <w:lvl w:ilvl="3" w:tplc="00000000">
      <w:start w:val="1"/>
      <w:numFmt w:val="decimal"/>
      <w:lvlText w:val="%4."/>
      <w:lvlJc w:val="left"/>
      <w:pPr>
        <w:ind w:left="1918" w:hanging="420"/>
      </w:pPr>
    </w:lvl>
    <w:lvl w:ilvl="4" w:tplc="00000000">
      <w:start w:val="1"/>
      <w:numFmt w:val="aiueoFullWidth"/>
      <w:lvlText w:val="(%5)"/>
      <w:lvlJc w:val="left"/>
      <w:pPr>
        <w:ind w:left="2338" w:hanging="420"/>
      </w:pPr>
    </w:lvl>
    <w:lvl w:ilvl="5" w:tplc="00000000">
      <w:start w:val="1"/>
      <w:numFmt w:val="decimalEnclosedCircle"/>
      <w:lvlText w:val="%6"/>
      <w:lvlJc w:val="left"/>
      <w:pPr>
        <w:ind w:left="2758" w:hanging="420"/>
      </w:pPr>
    </w:lvl>
    <w:lvl w:ilvl="6" w:tplc="00000000">
      <w:start w:val="1"/>
      <w:numFmt w:val="decimal"/>
      <w:lvlText w:val="%7."/>
      <w:lvlJc w:val="left"/>
      <w:pPr>
        <w:ind w:left="3178" w:hanging="420"/>
      </w:pPr>
    </w:lvl>
    <w:lvl w:ilvl="7" w:tplc="00000000">
      <w:start w:val="1"/>
      <w:numFmt w:val="aiueoFullWidth"/>
      <w:lvlText w:val="(%8)"/>
      <w:lvlJc w:val="left"/>
      <w:pPr>
        <w:ind w:left="3598" w:hanging="420"/>
      </w:pPr>
    </w:lvl>
    <w:lvl w:ilvl="8" w:tplc="00000000">
      <w:start w:val="1"/>
      <w:numFmt w:val="decimalEnclosedCircle"/>
      <w:lvlText w:val="%9"/>
      <w:lvlJc w:val="left"/>
      <w:pPr>
        <w:ind w:left="401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18"/>
  <w:drawingGridHorizontalSpacing w:val="2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1129</TotalTime>
  <Pages>8</Pages>
  <Words>11</Words>
  <Characters>3953</Characters>
  <Application>JUST Note</Application>
  <Lines>2240</Lines>
  <Paragraphs>212</Paragraphs>
  <Company>uwajima</Company>
  <CharactersWithSpaces>4173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5010137</dc:creator>
  <cp:lastModifiedBy>5010137</cp:lastModifiedBy>
  <cp:lastPrinted>2020-02-19T09:37:50Z</cp:lastPrinted>
  <dcterms:created xsi:type="dcterms:W3CDTF">2019-08-22T13:46:00Z</dcterms:created>
  <dcterms:modified xsi:type="dcterms:W3CDTF">2020-02-20T04:48:04Z</dcterms:modified>
  <cp:revision>14</cp:revision>
</cp:coreProperties>
</file>