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様式第７号（第１０条関係）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宇和島市ロゴマーク等使用内容変更承認通知書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号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（使用者）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日付けで変更承認申請のあったロゴマーク等の使用内容の変更については、次のとおり承認します。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597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2285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【使用上の遵守事項】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（１）承認された内容により使用すること。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（２）デザインガイドラインに従って使用すること。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（３）承認された使用権を譲渡し、又は転貸しないこと。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（４）承認に際して条件を付された場合はそれに従うこと。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（５）営利目的による使用を行う場合は、原則として、ロゴマーク等の近接に承認番号を明記すること。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（６）営利目的による使用を行う場合は、使用対象物の完成品を速やかに市長に提出すること。ただし、当該完成品の提出が困難と市長が認めるものについては、その写真をもって代えることができる。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3</Pages>
  <Words>0</Words>
  <Characters>590</Characters>
  <Application>JUST Note</Application>
  <Lines>82</Lines>
  <Paragraphs>44</Paragraphs>
  <CharactersWithSpaces>674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